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adoption-0f4ebf, forecast-ebf266, reviewer-266a3c, queue-a3c0c3, control-0c3350, evidence-35008b, budget-08b87a, margin-87ab91, partner-b914e3, deadline-4e3368, margin-368de8, product-de85c8, readiness-5c8339, legal-339541, queue-5417f7, owner-7f753e, regional-53e793, queue-7938b4, owner-8b4ef0, engineering-ef00cc, support-0cc7, account-7, account-4ebf26, audit-f266a3, policy-6a3c0c, scope-c0c335, engineering-335008, support-008b87, source-b87ab9, template-ab914e, audit-14e336, adoption-3368de, clause-8de85c, exception-85c833, citation-833954, reviewer-95417f. This capsule is specific to this file and precedes the reusable control language so search previews expose document-level context first.</w:t>
      </w:r>
    </w:p>
    <w:p>
      <w:pPr>
        <w:pStyle w:val="Title"/>
      </w:pPr>
      <w:r>
        <w:t>Customer-Facing Teams DocuLens AI HR Operating Guide 2025-09-30</w:t>
      </w:r>
    </w:p>
    <w:p>
      <w:pPr>
        <w:pStyle w:val="Heading1"/>
      </w:pPr>
      <w:r>
        <w:t>Summary</w:t>
      </w:r>
    </w:p>
    <w:p>
      <w:r>
        <w:t>The account team used this artifact to settle a disagreement about scope, replacing generic boilerplate with concrete acceptance criteria and named operational owners. Evidence marker NF-6651; customer=Orchid Robotics; industry=industrial automation; product=DocuLens AI; companion_product=LaunchOps; office_scope=Seoul HQ, Singapore customer success office, and Austin partnership desk.</w:t>
      </w:r>
    </w:p>
    <w:p>
      <w:r>
        <w:t>target audience: customer-facing teams.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