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2025-09-30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workflow-acd0bf, margin-0bf402, control-4026f3, clause-6f3bd8, control-bd8ec9, evidence-ec9b60, workflow-b60e02, latency-e028a3, workflow-8a3ce1, control-ce1954, legal-954538, partner-5389a4, product-9a4934, finance-934899, customer-899a25, account-a25767, enablement-76726d, finance-26d419, account-419ebc, legal-ebc3ec, evidence-3ec0, policy-0, customer-d0bf40, legal-f4026f, template-26f3bd, policy-3bd8ec, account-8ec9b6, renewal-9b60e0, source-0e028a, executive-28a3ce, renewal-3ce195, milestone-195453, milestone-45389a, variance-89a493, adoption-493489, reviewer-4899a2. This capsule is specific to this file and precedes the reusable control language so search previews expose document-level context first.</w:t>
      </w:r>
    </w:p>
    <w:p>
      <w:pPr>
        <w:pStyle w:val="Title"/>
      </w:pPr>
      <w:r>
        <w:t>All Employees Marketplace Preview HR Operating Guide 2025-09-30</w:t>
      </w:r>
    </w:p>
    <w:p>
      <w:pPr>
        <w:pStyle w:val="Heading1"/>
      </w:pPr>
      <w:r>
        <w:t>Summary</w:t>
      </w:r>
    </w:p>
    <w:p>
      <w:r>
        <w:t>This sample starts with a data-retention concern because the customer needed confidence that every extracted fact could be traced to a reviewed paragraph. Evidence marker NF-2759; customer=Pine Street Capital; industry=private markets; product=Marketplace Preview; companion_product=DocuLens AI; office_scope=Seoul HQ, Singapore customer success office, and Austin partnership desk.</w:t>
      </w:r>
    </w:p>
    <w:p>
      <w:r>
        <w:t>target audience: all employees. effective_date: 2025-09-30.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