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source-5259e6, clause-9e66ba, latency-6badbc, readiness-dbcbfc, owner-bfc85f, citation-85f5b5, readiness-5b51a6, owner-1a6058, owner-058217, customer-21736d, regional-36ddd7, product-dd71e2, product-1e2949, enablement-94972d, finance-72ddc1, product-dc10e5, regional-0e5c21, template-c213e8, product-3e8122, executive-122a05, legal-a051, customer-1, template-59e66b, account-66badb, security-adbcbf, executive-cbfc85, scope-c85f5b, account-f5b51a, account-51a605, milestone-605821, audit-821736, adoption-736ddd, budget-ddd71e, exception-71e294, workflow-294972, source-972ddc. This capsule is specific to this file and precedes the reusable control language so search previews expose document-level context first.</w:t>
      </w:r>
    </w:p>
    <w:p>
      <w:pPr>
        <w:pStyle w:val="Title"/>
      </w:pPr>
      <w:r>
        <w:t>People Managers Marketplace Preview HR Operating Guide 2026-03-31</w:t>
      </w:r>
    </w:p>
    <w:p>
      <w:pPr>
        <w:pStyle w:val="Heading1"/>
      </w:pPr>
      <w:r>
        <w:t>Summary</w:t>
      </w:r>
    </w:p>
    <w:p>
      <w:r>
        <w:t>The operating context is a multi-department checkpoint: Sales needs value evidence, CS needs adoption facts, Product needs usage signals, and Engineering needs latency data. Evidence marker NF-1265; customer=Seorak Foods; industry=food distribution; product=Marketplace Preview; companion_product=DocuLens AI; office_scope=Seoul HQ, Singapore customer success office, and Austin partnership desk.</w:t>
      </w:r>
    </w:p>
    <w:p>
      <w:r>
        <w:t>target audience: people managers.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