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readiness-c9843a, workflow-43a44a, workflow-44a3af, latency-3af27a, latency-27ae36, control-e365d1, workflow-5d1111, citation-1117bb, owner-7bbf35, readiness-f35e40, evidence-e4043b, finance-43b4c9, partner-4c9eb2, evidence-eb2657, security-657e18, account-e18218, deadline-2185a2, product-5a2bcb, product-bcb005, template-005115, regional-115a, customer-a, product-843a44, security-a44a3a, support-a3af27, milestone-f27ae3, adoption-ae365d, source-65d111, support-11117b, scope-17bbf3, latency-bf35e4, policy-5e4043, template-043b4c, adoption-b4c9eb, adoption-9eb265, exception-2657e1. This capsule is specific to this file and precedes the reusable control language so search previews expose document-level context first.</w:t>
      </w:r>
    </w:p>
    <w:p>
      <w:pPr>
        <w:pStyle w:val="Title"/>
      </w:pPr>
      <w:r>
        <w:t>People Managers Marketplace Preview HR Operating Guide 2026-03-31</w:t>
      </w:r>
    </w:p>
    <w:p>
      <w:pPr>
        <w:pStyle w:val="Heading1"/>
      </w:pPr>
      <w:r>
        <w:t>Summary</w:t>
      </w:r>
    </w:p>
    <w:p>
      <w:r>
        <w:t>The text was tailored for a regulated buyer who asked for clear exception handling before discussing rollout dates, training plans, or expansion economics. Evidence marker NF-6016; customer=MetroLearn; industry=education technology; product=Marketplace Preview; companion_product=DocuLens AI; office_scope=Seoul HQ, Singapore customer success office, and Austin partnership desk.</w:t>
      </w:r>
    </w:p>
    <w:p>
      <w:r>
        <w:t>target audience: people managers.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