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reviewer-6c4194, margin-1943b5, reviewer-3b58f4, launch-8f4c00, margin-c00726, exception-726747, exception-747c92, owner-c92ab8, margin-ab892b, queue-92b0fc, legal-0fca28, control-a2867e, security-67ee98, margin-e98683, partner-68346b, customer-46b75a, owner-75a887, product-887ba7, legal-ba7c49, product-c49610, engineering-6105, audit-5, support-41943b, legal-43b58f, scope-58f4c0, milestone-4c0072, scope-072674, milestone-6747c9, executive-7c92ab, clause-2ab892, executive-892b0f, exception-b0fca2, latency-ca2867, reviewer-867ee9, milestone-ee9868, reviewer-868346. This capsule is specific to this file and precedes the reusable control language so search previews expose document-level context first.</w:t>
      </w:r>
    </w:p>
    <w:p>
      <w:pPr>
        <w:pStyle w:val="Title"/>
      </w:pPr>
      <w:r>
        <w:t>New Hires InsightBridge HR Operating Guide 2026-03-31</w:t>
      </w:r>
    </w:p>
    <w:p>
      <w:pPr>
        <w:pStyle w:val="Heading1"/>
      </w:pPr>
      <w:r>
        <w:t>Summary</w:t>
      </w:r>
    </w:p>
    <w:p>
      <w:r>
        <w:t>The sample reflects a quarterly planning moment where NuriFlow had to connect product launch activity with ARR quality and customer trust. Evidence marker NF-0000; customer=Harbor Nine; industry=maritime services; product=InsightBridge; companion_product=Marketplace Preview; office_scope=Seoul HQ, Singapore customer success office, and Austin partnership desk.</w:t>
      </w:r>
    </w:p>
    <w:p>
      <w:r>
        <w:t>target audience: new hires.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