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margin-db1693, readiness-6936a1, clause-6a1d83, exception-d83e24, margin-e24ede, budget-edea30, readiness-a30efc, queue-efc8aa, exception-8aad05, customer-d05eb0, owner-eb01fa, partner-1fa6ea, finance-6eae47, control-e47ae5, owner-ae5eb5, account-eb57dc, account-7dc094, support-094336, enablement-336e86, customer-e8693c, evidence-93c5, policy-5, adoption-16936a, policy-36a1d8, template-1d83e2, policy-3e24ed, milestone-4edea3, clause-ea30ef, enablement-0efc8a, scope-c8aad0, latency-ad05eb, source-5eb01f, template-01fa6e, scope-a6eae4, readiness-ae47ae, budget-7ae5eb. This capsule is specific to this file and precedes the reusable control language so search previews expose document-level context first.</w:t>
      </w:r>
    </w:p>
    <w:p>
      <w:pPr>
        <w:pStyle w:val="Title"/>
      </w:pPr>
      <w:r>
        <w:t>Customer-Facing Teams LaunchOps HR Operating Guide 2026-03-31</w:t>
      </w:r>
    </w:p>
    <w:p>
      <w:pPr>
        <w:pStyle w:val="Heading1"/>
      </w:pPr>
      <w:r>
        <w:t>Summary</w:t>
      </w:r>
    </w:p>
    <w:p>
      <w:r>
        <w:t>The author rewrote the front matter after finding duplicated summary language, prioritizing concrete names, dates, clauses, and measurable workflow outcomes. Evidence marker NF-3725; customer=Nova Clinic Group; industry=clinical operations; product=LaunchOps; companion_product=FlowDesk; office_scope=Seoul HQ, Singapore customer success office, and Austin partnership desk.</w:t>
      </w:r>
    </w:p>
    <w:p>
      <w:r>
        <w:t>target audience: customer-facing teams.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