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adoption-0cce96, margin-e9617a, partner-17a5ab, queue-5abdbe, margin-dbe52f, citation-52f517, latency-5178cd, partner-8cd29d, owner-29d6b0, partner-6b0912, evidence-91205d, customer-05d502, legal-502ffa, security-ffa7ca, enablement-7cab83, evidence-b8346e, owner-46ecfb, template-cfb1eb, product-1ebbbb, evidence-bbb5f2, engineering-5f2c, account-c, scope-ce9617, milestone-617a5a, finance-a5abdb, scope-bdbe52, renewal-e52f51, audit-f5178c, renewal-78cd29, account-d29d6b, renewal-d6b091, template-091205, scope-205d50, audit-d502ff, renewal-2ffa7c, citation-a7cab8. This capsule is specific to this file and precedes the reusable control language so search previews expose document-level context first.</w:t>
      </w:r>
    </w:p>
    <w:p>
      <w:pPr>
        <w:pStyle w:val="Title"/>
      </w:pPr>
      <w:r>
        <w:t>All Employees FlowDesk HR Operating Guide 2026-03-31</w:t>
      </w:r>
    </w:p>
    <w:p>
      <w:pPr>
        <w:pStyle w:val="Heading1"/>
      </w:pPr>
      <w:r>
        <w:t>Summary</w:t>
      </w:r>
    </w:p>
    <w:p>
      <w:r>
        <w:t>The document is anchored in Seoul HQ operating cadence but includes Singapore and Austin dependencies where regional teams own customer-facing follow-through. Evidence marker NF-1683; customer=Gaia Power; industry=energy operations; product=FlowDesk; companion_product=InsightBridge; office_scope=Seoul HQ, Singapore customer success office, and Austin partnership desk.</w:t>
      </w:r>
    </w:p>
    <w:p>
      <w:r>
        <w:t>target audience: all employees.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