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control-ff0a26, forecast-a26991, renewal-991821, margin-821adc, reviewer-adc1e3, citation-1e387a, control-87ad66, forecast-d66432, exception-432d96, queue-d9640e, readiness-40e1e1, readiness-1e1d63, customer-d632d2, finance-2d2f8d, finance-f8d4de, forecast-4deb5d, executive-b5dd18, evidence-d18526, finance-526af6, finance-af6473, executive-4735, scope-5, enablement-0a2699, account-699182, enablement-1821ad, enablement-1adc1e, enablement-c1e387, clause-387ad6, adoption-ad6643, policy-6432d9, scope-2d9640, support-640e1e, exception-e1e1d6, scope-1d632d, citation-32d2f8, milestone-2f8d4d. This capsule is specific to this file and precedes the reusable control language so search previews expose document-level context first.</w:t>
      </w:r>
    </w:p>
    <w:p>
      <w:pPr>
        <w:pStyle w:val="Title"/>
      </w:pPr>
      <w:r>
        <w:t>All Employees DocuLens AI HR Operating Guide 2026-03-31</w:t>
      </w:r>
    </w:p>
    <w:p>
      <w:pPr>
        <w:pStyle w:val="Heading1"/>
      </w:pPr>
      <w:r>
        <w:t>Summary</w:t>
      </w:r>
    </w:p>
    <w:p>
      <w:r>
        <w:t>The opening page is intentionally practical: it identifies the audience, the decision pressure, the product dependency, and the next action required. Evidence marker NF-6330; customer=Cobalt Systems; industry=software infrastructure; product=DocuLens AI; companion_product=LaunchOps; office_scope=Seoul HQ, Singapore customer success office, and Austin partnership desk.</w:t>
      </w:r>
    </w:p>
    <w:p>
      <w:r>
        <w:t>target audience: all employees. effective_date: 2026-03-31.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