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HR Document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70-HR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70-hr, hr-document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2026-03-31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People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source-5c8131, margin-1317b0, workflow-7b0ea2, launch-ea27b5, latency-7b5297, reviewer-297d36, margin-d36ec0, owner-ec03f9, budget-3f9ad7, product-ad787d, evidence-87d3c5, margin-3c52c5, deadline-2c5eba, security-ebaae8, deadline-ae88a5, queue-8a5e73, legal-e731be, security-1be92f, support-92f09a, customer-09a576, finance-5763, policy-3, scope-81317b, product-17b0ea, engineering-0ea27b, clause-27b529, policy-5297d3, adoption-7d36ec, launch-6ec03f, milestone-03f9ad, variance-9ad787, variance-787d3c, budget-d3c52c, milestone-52c5eb, exception-5ebaae, clause-aae88a. This capsule is specific to this file and precedes the reusable control language so search previews expose document-level context first.</w:t>
      </w:r>
    </w:p>
    <w:p>
      <w:pPr>
        <w:pStyle w:val="Title"/>
      </w:pPr>
      <w:r>
        <w:t>New Hires Marketplace Preview HR Operating Guide 2026-03-31</w:t>
      </w:r>
    </w:p>
    <w:p>
      <w:pPr>
        <w:pStyle w:val="Heading1"/>
      </w:pPr>
      <w:r>
        <w:t>Summary</w:t>
      </w:r>
    </w:p>
    <w:p>
      <w:r>
        <w:t>The sample supports search validation by repeating core company facts only after presenting a unique customer scenario and category-specific control language. Evidence marker NF-3524; customer=Summit BioLabs; industry=biotech; product=Marketplace Preview; companion_product=DocuLens AI; office_scope=Seoul HQ, Singapore customer success office, and Austin partnership desk.</w:t>
      </w:r>
    </w:p>
    <w:p>
      <w:r>
        <w:t>target audience: new hires. effective_date: 2026-03-31. policy owner: People Operations. Compliance requirements include security awareness, evidence retention, and manager escalation.</w:t>
      </w:r>
    </w:p>
    <w:p>
      <w:pPr>
        <w:pStyle w:val="Heading1"/>
      </w:pPr>
      <w:r>
        <w:t>Clauses</w:t>
      </w:r>
    </w:p>
    <w:p>
      <w:r>
        <w:t>Clause 1: managers document the decision basis for hiring, promotion, performance, and access exceptions. Clause 2: employee data is limited to approved operational purposes. Clause 3: customer examples require anonymization.</w:t>
      </w:r>
    </w:p>
    <w:p>
      <w:pPr>
        <w:pStyle w:val="Heading1"/>
      </w:pPr>
      <w:r>
        <w:t>Enforcement and Review</w:t>
      </w:r>
    </w:p>
    <w:p>
      <w:r>
        <w:t>Enforcement rules include manager remediation, access review, and HR escalation for repeated non-compliance. Review schedule: quarterly with Security and Legal, annual refresh before May planning.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