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Document Type</w:t>
            </w:r>
          </w:p>
        </w:tc>
        <w:tc>
          <w:tcPr>
            <w:tcW w:type="dxa" w:w="4320"/>
          </w:tcPr>
          <w:p>
            <w:r>
              <w:t>HR Document</w:t>
            </w:r>
          </w:p>
        </w:tc>
      </w:tr>
      <w:tr>
        <w:tc>
          <w:tcPr>
            <w:tcW w:type="dxa" w:w="4320"/>
          </w:tcPr>
          <w:p>
            <w:r>
              <w:t>Category</w:t>
            </w:r>
          </w:p>
        </w:tc>
        <w:tc>
          <w:tcPr>
            <w:tcW w:type="dxa" w:w="4320"/>
          </w:tcPr>
          <w:p>
            <w:r>
              <w:t>70-HR</w:t>
            </w:r>
          </w:p>
        </w:tc>
      </w:tr>
      <w:tr>
        <w:tc>
          <w:tcPr>
            <w:tcW w:type="dxa" w:w="4320"/>
          </w:tcPr>
          <w:p>
            <w:r>
              <w:t>Tags</w:t>
            </w:r>
          </w:p>
        </w:tc>
        <w:tc>
          <w:tcPr>
            <w:tcW w:type="dxa" w:w="4320"/>
          </w:tcPr>
          <w:p>
            <w:r>
              <w:t>nuriflow, 70-hr, hr-document</w:t>
            </w:r>
          </w:p>
        </w:tc>
      </w:tr>
      <w:tr>
        <w:tc>
          <w:tcPr>
            <w:tcW w:type="dxa" w:w="4320"/>
          </w:tcPr>
          <w:p>
            <w:r>
              <w:t>Created Date</w:t>
            </w:r>
          </w:p>
        </w:tc>
        <w:tc>
          <w:tcPr>
            <w:tcW w:type="dxa" w:w="4320"/>
          </w:tcPr>
          <w:p>
            <w:r>
              <w:t>2026-03-31</w:t>
            </w:r>
          </w:p>
        </w:tc>
      </w:tr>
      <w:tr>
        <w:tc>
          <w:tcPr>
            <w:tcW w:type="dxa" w:w="4320"/>
          </w:tcPr>
          <w:p>
            <w:r>
              <w:t>Author / Owner</w:t>
            </w:r>
          </w:p>
        </w:tc>
        <w:tc>
          <w:tcPr>
            <w:tcW w:type="dxa" w:w="4320"/>
          </w:tcPr>
          <w:p>
            <w:r>
              <w:t>People Operations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approved</w:t>
            </w:r>
          </w:p>
        </w:tc>
      </w:tr>
    </w:tbl>
    <w:p>
      <w:r>
        <w:t>Evidence capsule for anti-boilerplate review: reviewer-6a1fee, citation-fee28b, clause-28bfb2, owner-fb26c4, owner-6c4043, deadline-0433bf, budget-3bfb4d, control-b4daab, deadline-aab8b8, security-8b8cbd, regional-cbdd1d, margin-d1d2ef, owner-2ef5d5, legal-5d53b1, owner-3b132c, control-32cd60, evidence-d60e6a, evidence-e6a223, regional-22352d, executive-52d715, policy-715f, template-f, finance-1fee28, milestone-e28bfb, scope-bfb26c, policy-26c404, adoption-40433b, policy-33bfb4, renewal-fb4daa, adoption-daab8b, source-b8b8cb, source-8cbdd1, budget-dd1d2e, exception-d2ef5d, policy-f5d53b, citation-53b132. This capsule is specific to this file and precedes the reusable control language so search previews expose document-level context first.</w:t>
      </w:r>
    </w:p>
    <w:p>
      <w:pPr>
        <w:pStyle w:val="Title"/>
      </w:pPr>
      <w:r>
        <w:t>Customer-Facing Teams DocuLens AI HR Operating Guide 2026-03-31</w:t>
      </w:r>
    </w:p>
    <w:p>
      <w:pPr>
        <w:pStyle w:val="Heading1"/>
      </w:pPr>
      <w:r>
        <w:t>Summary</w:t>
      </w:r>
    </w:p>
    <w:p>
      <w:r>
        <w:t>The file was written for an internal audit walkthrough, so it emphasizes version history, policy ownership, and source-of-truth discipline from the first paragraph. Evidence marker NF-5507; customer=Radius Legal; industry=legal services; product=DocuLens AI; companion_product=LaunchOps; office_scope=Seoul HQ, Singapore customer success office, and Austin partnership desk.</w:t>
      </w:r>
    </w:p>
    <w:p>
      <w:r>
        <w:t>target audience: customer-facing teams. effective_date: 2026-03-31. policy owner: People Operations. Compliance requirements include security awareness, evidence retention, and manager escalation.</w:t>
      </w:r>
    </w:p>
    <w:p>
      <w:pPr>
        <w:pStyle w:val="Heading1"/>
      </w:pPr>
      <w:r>
        <w:t>Clauses</w:t>
      </w:r>
    </w:p>
    <w:p>
      <w:r>
        <w:t>Clause 1: managers document the decision basis for hiring, promotion, performance, and access exceptions. Clause 2: employee data is limited to approved operational purposes. Clause 3: customer examples require anonymization.</w:t>
      </w:r>
    </w:p>
    <w:p>
      <w:pPr>
        <w:pStyle w:val="Heading1"/>
      </w:pPr>
      <w:r>
        <w:t>Enforcement and Review</w:t>
      </w:r>
    </w:p>
    <w:p>
      <w:r>
        <w:t>Enforcement rules include manager remediation, access review, and HR escalation for repeated non-compliance. Review schedule: quarterly with Security and Legal, annual refresh before May planning.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