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Finance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finance-document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Cap Table 2026</w:t>
      </w:r>
    </w:p>
    <w:p>
      <w:pPr>
        <w:pStyle w:val="Heading1"/>
      </w:pPr>
      <w:r>
        <w:t>Summary</w:t>
      </w:r>
    </w:p>
    <w:p>
      <w:r>
        <w:t>Cap Table 2026 reflects NuriFlow Systems USD 28.4M ARR, 186 employees, product portfolio, and regional operating footprint.</w:t>
      </w:r>
    </w:p>
    <w:p>
      <w:pPr>
        <w:pStyle w:val="Heading1"/>
      </w:pPr>
      <w:r>
        <w:t>Controls</w:t>
      </w:r>
    </w:p>
    <w:p>
      <w:r>
        <w:t>Finance owns approvals, Legal reviews equity or contractual obligations, and executive leadership signs final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