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2025-10-31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partner-e0e5a1, variance-5a1346, forecast-34672e, budget-72ed62, partner-d6254f, reviewer-54ff3e, exception-f3ebba, citation-bba0cf, partner-0cf781, forecast-7816f3, readiness-6f3870, legal-870d67, legal-d6790d, deadline-90d397, forecast-39754a, evidence-54abd2, evidence-bd2cc7, template-cc7d89, audit-d899d5, customer-9d502f, scope-02ff, template-f, audit-e5a134, audit-134672, security-672ed6, adoption-ed6254, launch-254ff3, scope-ff3ebb, milestone-ebba0c, executive-a0cf78, milestone-f7816f, exception-16f387, policy-3870d6, launch-0d6790, launch-790d39, policy-d39754. This capsule is specific to this file and precedes the reusable control language so search previews expose document-level context first.</w:t>
      </w:r>
    </w:p>
    <w:p>
      <w:pPr>
        <w:pStyle w:val="Title"/>
      </w:pPr>
      <w:r>
        <w:t>LaunchOps Partner Operations Policy 2025-10-31</w:t>
      </w:r>
    </w:p>
    <w:p>
      <w:pPr>
        <w:pStyle w:val="Heading1"/>
      </w:pPr>
      <w:r>
        <w:t>Summary</w:t>
      </w:r>
    </w:p>
    <w:p>
      <w:r>
        <w:t>The file opens from a customer escalation review rather than a template queue; the owner captured exact source paragraphs before any commercial language was drafted. Evidence marker NF-1938; customer=Hanbit Manufacturing; industry=advanced manufacturing; product=LaunchOps; companion_product=FlowDesk; office_scope=Seoul HQ, Singapore customer success office, and Austin partnership desk.</w:t>
      </w:r>
    </w:p>
    <w:p>
      <w:r>
        <w:t>policy domain: partner operations. scope: NuriFlow Systems, Seoul HQ, Singapore customer success office, and Austin partnership desk, and all product teams supporting LaunchOps.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2025-10-31; v1.1 adds FlowDesk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