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2025-10-31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adoption-0c196b, margin-96b8eb, clause-8ebad6, readiness-ad63b8, workflow-3b8343, forecast-343734, partner-734403, regional-403794, deadline-7949c5, deadline-9c539d, product-39dd8a, queue-d8a1eb, control-1eb014, security-0146cd, customer-6cdf0b, owner-f0b6a0, evidence-6a0e70, evidence-e70d82, legal-d8263c, customer-63cd30, security-d303, legal-3, customer-196b8e, finance-b8ebad, support-bad63b, scope-63b834, executive-834373, milestone-373440, clause-440379, scope-37949c, audit-49c539, clause-539dd8, budget-dd8a1e, exception-a1eb01, source-b0146c, budget-46cdf0. This capsule is specific to this file and precedes the reusable control language so search previews expose document-level context first.</w:t>
      </w:r>
    </w:p>
    <w:p>
      <w:pPr>
        <w:pStyle w:val="Title"/>
      </w:pPr>
      <w:r>
        <w:t>InsightBridge Ai Governance Policy 2025-10-31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NF-9725; customer=BlueHarbor Logistics; industry=regional logistics; product=InsightBridge; companion_product=Marketplace Preview; office_scope=Seoul HQ, Singapore customer success office, and Austin partnership desk.</w:t>
      </w:r>
    </w:p>
    <w:p>
      <w:r>
        <w:t>policy domain: AI governance. scope: NuriFlow Systems, Seoul HQ, Singapore customer success office, and Austin partnership desk, and all product teams supporting InsightBridge.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2025-10-31; v1.1 adds Marketplace Preview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