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reviewer-652244, reviewer-24474e, launch-74e443, source-443432, budget-4327bc, exception-7bc219, margin-21919c, citation-19c775, customer-7751f1, margin-1f1483, partner-4836dd, partner-6ddd74, forecast-d74985, forecast-985b31, forecast-b31dca, customer-dcab2b, engineering-b2bf0f, account-f0f2d3, evidence-2d30a0, evidence-0a05cd, account-5cdc, customer-c, support-224474, policy-474e44, support-e44343, template-34327b, support-27bc21, enablement-c21919, reviewer-919c77, executive-c7751f, scope-51f148, renewal-14836d, policy-36ddd7, renewal-dd7498, workflow-4985b3, citation-5b31dc. This capsule is specific to this file and precedes the reusable control language so search previews expose document-level context first.</w:t>
      </w:r>
    </w:p>
    <w:p>
      <w:pPr>
        <w:pStyle w:val="Title"/>
      </w:pPr>
      <w:r>
        <w:t>FlowDesk Security Policy 2025-10-31</w:t>
      </w:r>
    </w:p>
    <w:p>
      <w:pPr>
        <w:pStyle w:val="Heading1"/>
      </w:pPr>
      <w:r>
        <w:t>Summary</w:t>
      </w:r>
    </w:p>
    <w:p>
      <w:r>
        <w:t>The document records a late-stage executive question about measurable adoption, so the first page emphasizes proof, owner names, and decision timing. Evidence marker NF-4557; customer=Mirae Health Network; industry=healthcare operations; product=FlowDesk; companion_product=InsightBridge; office_scope=Seoul HQ, Singapore customer success office, and Austin partnership desk.</w:t>
      </w:r>
    </w:p>
    <w:p>
      <w:r>
        <w:t>policy domain: security. scope: NuriFlow Systems, Seoul HQ, Singapore customer success office, and Austin partnership desk, and all product teams supporting FlowDesk.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InsightBridge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