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2025-10-31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margin-d32b4c, launch-b4c967, launch-967572, partner-572b81, budget-b81f9d, queue-f9d92e, control-92e4db, margin-4dbd5f, control-d5f748, partner-7484ca, queue-4cae58, margin-e58a33, product-a337b9, regional-7b9345, control-345c96, executive-c967cc, legal-7cce51, executive-e519a3, engineering-9a3013, regional-01382a, scope-82a0, legal-0, policy-2b4c96, scope-c96757, adoption-7572b8, executive-2b81f9, launch-1f9d92, scope-d92e4d, template-e4dbd5, adoption-bd5f74, scope-f7484c, reviewer-84cae5, source-ae58a3, workflow-8a337b, renewal-37b934, reviewer-9345c9. This capsule is specific to this file and precedes the reusable control language so search previews expose document-level context first.</w:t>
      </w:r>
    </w:p>
    <w:p>
      <w:pPr>
        <w:pStyle w:val="Title"/>
      </w:pPr>
      <w:r>
        <w:t>DocuLens AI Data Retention Policy 2025-10-31</w:t>
      </w:r>
    </w:p>
    <w:p>
      <w:pPr>
        <w:pStyle w:val="Heading1"/>
      </w:pPr>
      <w:r>
        <w:t>Summary</w:t>
      </w:r>
    </w:p>
    <w:p>
      <w:r>
        <w:t>The source packet came from a renewal-risk conversation where scattered Slack notes, uploaded contracts, and spreadsheet exceptions were consolidated into one accountable narrative. Evidence marker NF-7963; customer=Northstar Finance; industry=financial services; product=DocuLens AI; companion_product=LaunchOps; office_scope=Seoul HQ, Singapore customer success office, and Austin partnership desk.</w:t>
      </w:r>
    </w:p>
    <w:p>
      <w:r>
        <w:t>policy domain: data retention. scope: NuriFlow Systems, Seoul HQ, Singapore customer success office, and Austin partnership desk, and all product teams supporting DocuLens AI.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2025-10-31; v1.1 adds LaunchOps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