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2025-10-31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budget-8a885e, citation-85e5aa, workflow-5aa92c, citation-92cb2e, exception-b2e31a, deadline-31a4d2, citation-4d287a, queue-87af71, owner-f717eb, owner-7eb901, readiness-90148b, product-48b92e, product-92e1dd, control-1dd3ad, enablement-3adcce, owner-cce60b, queue-60b799, engineering-799a67, customer-a67b0d, template-b0d346, customer-3462, account-2, account-885e5a, audit-e5aa92, renewal-a92cb2, template-cb2e31, engineering-e31a4d, scope-a4d287, source-287af7, clause-af717e, renewal-17eb90, support-b90148, audit-148b92, adoption-b92e1d, source-e1dd3a, exception-d3adcc. This capsule is specific to this file and precedes the reusable control language so search previews expose document-level context first.</w:t>
      </w:r>
    </w:p>
    <w:p>
      <w:pPr>
        <w:pStyle w:val="Title"/>
      </w:pPr>
      <w:r>
        <w:t>Marketplace Preview Customer Communications Policy 2025-10-31</w:t>
      </w:r>
    </w:p>
    <w:p>
      <w:pPr>
        <w:pStyle w:val="Heading1"/>
      </w:pPr>
      <w:r>
        <w:t>Summary</w:t>
      </w:r>
    </w:p>
    <w:p>
      <w:r>
        <w:t>This version was prepared after a security objection, so the opening language names the control surface before discussing product benefits or timeline. Evidence marker NF-5930; customer=Aster Public Services; industry=public sector; product=Marketplace Preview; companion_product=DocuLens AI; office_scope=Seoul HQ, Singapore customer success office, and Austin partnership desk.</w:t>
      </w:r>
    </w:p>
    <w:p>
      <w:r>
        <w:t>policy domain: customer communications. scope: NuriFlow Systems, Seoul HQ, Singapore customer success office, and Austin partnership desk, and all product teams supporting Marketplace Preview.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2025-10-31; v1.1 adds DocuLens AI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