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citation-b1af44, renewal-f44f47, readiness-f47713, owner-713430, budget-430935, exception-935d64, regional-d64715, citation-71574b, control-74ba63, forecast-a63d72, citation-d721ae, partner-1ae4e6, forecast-4e6572, forecast-57288b, partner-88b576, security-576288, deadline-2882d1, customer-2d1793, support-793972, legal-9728ad, security-8ad5, enablement-5, product-af44f4, enablement-4f4771, support-771343, account-343093, adoption-0935d6, adoption-5d6471, scope-471574, template-574ba6, reviewer-ba63d7, variance-3d721a, scope-21ae4e, scope-e4e657, latency-657288, readiness-288b57.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Ai Governance Policy 2025-10-31</w:t>
      </w:r>
    </w:p>
    <w:p>
      <w:pPr>
        <w:pStyle w:val="Heading1"/>
      </w:pPr>
      <w:r>
        <w:t>Summary</w:t>
      </w:r>
    </w:p>
    <w:p>
      <w:r>
        <w:t>The sample is written from the customer success desk: stalled approvals, unclear owners, and missing source citations are the practical problems being solved. Evidence marker NF-8691; customer=Lumen Education Group; industry=education; product=InsightBridge; companion_product=Marketplace Preview; office_scope=Seoul HQ, Singapore customer success office, and Austin partnership desk.</w:t>
      </w:r>
    </w:p>
    <w:p>
      <w:r>
        <w:t>policy domain: AI governance. scope: NuriFlow Systems, Seoul HQ, Singapore customer success office, and Austin partnership desk, and all product teams supporting InsightBridge.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Marketplace Preview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