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90-Policies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90-policies, policy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2025-10-31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Policy Governance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variance-199301, workflow-301279, citation-2791e9, reviewer-1e9227, launch-227ecc, reviewer-ecc6ff, budget-6ff37b, partner-37bc85, queue-c854c2, workflow-4c2698, security-6983fe, evidence-3fee1e, partner-e1e8f1, control-8f1d2b, regional-d2b947, account-947a61, enablement-a61a3e, account-a3e4c6, security-4c6707, scope-7074e2, policy-4e21, security-1, account-930127, scope-12791e, milestone-91e922, audit-9227ec, support-7ecc6f, support-c6ff37, clause-f37bc8, support-bc854c, milestone-54c269, clause-26983f, clause-83fee1, milestone-ee1e8f, readiness-e8f1d2, readiness-1d2b94. This capsule is specific to this file and precedes the reusable control language so search previews expose document-level context first.</w:t>
      </w:r>
    </w:p>
    <w:p>
      <w:pPr>
        <w:pStyle w:val="Title"/>
      </w:pPr>
      <w:r>
        <w:t>Marketplace Preview Customer Communications Policy 2025-10-31</w:t>
      </w:r>
    </w:p>
    <w:p>
      <w:pPr>
        <w:pStyle w:val="Heading1"/>
      </w:pPr>
      <w:r>
        <w:t>Summary</w:t>
      </w:r>
    </w:p>
    <w:p>
      <w:r>
        <w:t>The first review came from People Operations, which forced the author to separate manager accountability, policy compliance, and product workflow evidence. Evidence marker NF-1616; customer=Daehan Mobility; industry=transportation; product=Marketplace Preview; companion_product=DocuLens AI; office_scope=Seoul HQ, Singapore customer success office, and Austin partnership desk.</w:t>
      </w:r>
    </w:p>
    <w:p>
      <w:r>
        <w:t>policy domain: customer communications. scope: NuriFlow Systems, Seoul HQ, Singapore customer success office, and Austin partnership desk, and all product teams supporting Marketplace Preview. owner: Policy Governance. review cycle: quarterly.</w:t>
      </w:r>
    </w:p>
    <w:p>
      <w:pPr>
        <w:pStyle w:val="Heading1"/>
      </w:pPr>
      <w:r>
        <w:t>Responsibilities</w:t>
      </w:r>
    </w:p>
    <w:p>
      <w:r>
        <w:t>Business owners maintain procedures; Legal validates obligations; Security approves controls; People Operations trains employees; team leads enforce documented workflows.</w:t>
      </w:r>
    </w:p>
    <w:p>
      <w:pPr>
        <w:pStyle w:val="Heading1"/>
      </w:pPr>
      <w:r>
        <w:t>Exceptions and Version History</w:t>
      </w:r>
    </w:p>
    <w:p>
      <w:r>
        <w:t>Exception process requires scope, rationale, compensating control, owner, and expiration date before operational use.</w:t>
      </w:r>
    </w:p>
    <w:p>
      <w:r>
        <w:t>Version history: v1.0 baseline on 2025-10-31; v1.1 adds DocuLens AI dependency language; next scheduled review on 2026-05-13.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