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renewal-239b54, launch-b54f67, citation-f67390, partner-39040e, exception-40e11c, exception-11c97e, regional-97e49f, margin-49fdff, control-dff4fa, readiness-4fa8d8, deadline-8d8a0f, citation-a0f976, forecast-9769c1, margin-9c112c, enablement-12c6c0, forecast-6c0ce2, queue-ce29b8, account-9b871b, engineering-71b9b9, finance-9b90e9, scope-0e98, legal-8, support-9b54f6, variance-4f6739, adoption-739040, clause-040e11, launch-e11c97, support-c97e49, reviewer-e49fdf, renewal-fdff4f, variance-f4fa8d, latency-a8d8a0, clause-8a0f97, reviewer-f9769c, scope-69c112, margin-112c6c.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Customer Communications Policy 2025-10-31</w:t>
      </w:r>
    </w:p>
    <w:p>
      <w:pPr>
        <w:pStyle w:val="Heading1"/>
      </w:pPr>
      <w:r>
        <w:t>Summary</w:t>
      </w:r>
    </w:p>
    <w:p>
      <w:r>
        <w:t>The account team used this artifact to settle a disagreement about scope, replacing generic boilerplate with concrete acceptance criteria and named operational owners. Evidence marker NF-1473; customer=Orchid Robotics; industry=industrial automation; product=Marketplace Preview; companion_product=DocuLens AI; office_scope=Seoul HQ, Singapore customer success office, and Austin partnership desk.</w:t>
      </w:r>
    </w:p>
    <w:p>
      <w:r>
        <w:t>policy domain: customer communications. scope: NuriFlow Systems, Seoul HQ, Singapore customer success office, and Austin partnership desk, and all product teams supporting Marketplace Preview.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DocuLens AI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