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2025-10-31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exception-9db894, partner-8940a4, margin-0a4013, citation-01321a, margin-21a645, exception-645346, reviewer-346158, queue-158af3, readiness-af3516, exception-51639f, citation-39fb7f, partner-b7f8e7, partner-8e7c15, partner-c15365, security-365d00, regional-d00572, evidence-572db5, customer-db5116, regional-116d66, product-d66c9c, finance-c9c5, customer-5, engineering-b8940a, support-40a401, scope-401321, clause-321a64, account-a64534, template-534615, account-6158af, policy-8af351, audit-351639, clause-639fb7, workflow-fb7f8e, latency-f8e7c1, launch-7c1536, margin-5365d0. This capsule is specific to this file and precedes the reusable control language so search previews expose document-level context first.</w:t>
      </w:r>
    </w:p>
    <w:p>
      <w:pPr>
        <w:pStyle w:val="Title"/>
      </w:pPr>
      <w:r>
        <w:t>LaunchOps Partner Operations Policy 2025-10-31</w:t>
      </w:r>
    </w:p>
    <w:p>
      <w:pPr>
        <w:pStyle w:val="Heading1"/>
      </w:pPr>
      <w:r>
        <w:t>Summary</w:t>
      </w:r>
    </w:p>
    <w:p>
      <w:r>
        <w:t>This sample starts with a data-retention concern because the customer needed confidence that every extracted fact could be traced to a reviewed paragraph. Evidence marker NF-8340; customer=Pine Street Capital; industry=private markets; product=LaunchOps; companion_product=FlowDesk; office_scope=Seoul HQ, Singapore customer success office, and Austin partnership desk.</w:t>
      </w:r>
    </w:p>
    <w:p>
      <w:r>
        <w:t>policy domain: partner operations. scope: NuriFlow Systems, Seoul HQ, Singapore customer success office, and Austin partnership desk, and all product teams supporting LaunchOps.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2025-10-31; v1.1 adds FlowDesk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