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source-5402e0, source-2e0058, renewal-05872a, source-72a56a, owner-56a86d, source-86db23, reviewer-b237f8, readiness-7f829c, forecast-29ca10, forecast-a10474, readiness-474b2b, regional-b2b418, queue-41809e, deadline-09e19b, security-19b723, product-7239d3, customer-9d3787, executive-78748b, account-48b272, regional-2721ab, product-1abe, enablement-e, adoption-02e005, support-005872, finance-872a56, scope-a56a86, variance-a86db2, adoption-db237f, account-37f829, account-829ca1, scope-ca1047, variance-0474b2, milestone-4b2b41, latency-b41809, milestone-809e19, exception-e19b72.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Customer Communications Policy 2026-04-30</w:t>
      </w:r>
    </w:p>
    <w:p>
      <w:pPr>
        <w:pStyle w:val="Heading1"/>
      </w:pPr>
      <w:r>
        <w:t>Summary</w:t>
      </w:r>
    </w:p>
    <w:p>
      <w:r>
        <w:t>The document answers a simple governance question: who decides, who verifies the source, and what happens when the workflow produces an exception. Evidence marker NF-1116; customer=CivicBridge Agency; industry=local government; product=Marketplace Preview; companion_product=DocuLens AI; office_scope=Seoul HQ, Singapore customer success office, and Austin partnership desk.</w:t>
      </w:r>
    </w:p>
    <w:p>
      <w:r>
        <w:t>policy domain: customer communications. scope: NuriFlow Systems, Seoul HQ, Singapore customer success office, and Austin partnership desk, and all product teams supporting Marketplace Preview.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2026-04-30; v1.1 adds DocuLens AI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