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budget-833754, launch-7541a6, source-1a67d1, workflow-7d127c, exception-27c55b, exception-55bee5, latency-ee5e7b, queue-e7b7ab, partner-7abadb, forecast-adbe74, product-e7464c, readiness-64ca25, partner-a25e0c, evidence-e0c7a0, finance-7a0f85, evidence-f85fe7, regional-fe73f9, enablement-3f9269, template-2691cf, audit-1cf7e6, legal-7e63, policy-3, account-37541a, scope-41a67d, support-67d127, policy-127c55, adoption-c55bee, adoption-bee5e7, launch-5e7b7a, clause-b7abad, latency-badbe7, variance-be7464, milestone-464ca2, renewal-ca25e0, variance-5e0c7a, workflow-c7a0f8. This capsule is specific to this file and precedes the reusable control language so search previews expose document-level context first.</w:t>
      </w:r>
    </w:p>
    <w:p>
      <w:pPr>
        <w:pStyle w:val="Title"/>
      </w:pPr>
      <w:r>
        <w:t>LaunchOps Partner Operations Policy 2026-04-30</w:t>
      </w:r>
    </w:p>
    <w:p>
      <w:pPr>
        <w:pStyle w:val="Heading1"/>
      </w:pPr>
      <w:r>
        <w:t>Summary</w:t>
      </w:r>
    </w:p>
    <w:p>
      <w:r>
        <w:t>The sample reflects a quarterly planning moment where NuriFlow had to connect product launch activity with ARR quality and customer trust. Evidence marker NF-0371; customer=Harbor Nine; industry=maritime services; product=LaunchOps; companion_product=FlowDesk; office_scope=Seoul HQ, Singapore customer success office, and Austin partnership desk.</w:t>
      </w:r>
    </w:p>
    <w:p>
      <w:r>
        <w:t>policy domain: partner operations. scope: NuriFlow Systems, Seoul HQ, Singapore customer success office, and Austin partnership desk, and all product teams supporting LaunchOps.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FlowDesk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