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2026-04-30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source-5f8391, forecast-39141b, workflow-41bbf3, reviewer-bf3d0d, margin-d0d6f8, reviewer-6f8663, workflow-663960, budget-9608a1, deadline-8a12b3, evidence-2b3a05, legal-a05595, partner-595800, legal-80058c, margin-58c393, engineering-39327f, regional-27f738, support-738559, legal-55946b, security-46be5c, legal-e5c6fa, product-6fad, executive-d, enablement-839141, product-141bbf, template-bbf3d0, policy-3d0d6f, engineering-d6f866, account-866396, renewal-39608a, template-08a12b, clause-12b3a0, support-3a0559, adoption-559580, variance-580058, reviewer-058c39, clause-c39327. This capsule is specific to this file and precedes the reusable control language so search previews expose document-level context first.</w:t>
      </w:r>
    </w:p>
    <w:p>
      <w:pPr>
        <w:pStyle w:val="Title"/>
      </w:pPr>
      <w:r>
        <w:t>InsightBridge Ai Governance Policy 2026-04-30</w:t>
      </w:r>
    </w:p>
    <w:p>
      <w:pPr>
        <w:pStyle w:val="Heading1"/>
      </w:pPr>
      <w:r>
        <w:t>Summary</w:t>
      </w:r>
    </w:p>
    <w:p>
      <w:r>
        <w:t>The opening page is intentionally practical: it identifies the audience, the decision pressure, the product dependency, and the next action required. Evidence marker NF-5276; customer=Cobalt Systems; industry=software infrastructure; product=InsightBridge; companion_product=Marketplace Preview; office_scope=Seoul HQ, Singapore customer success office, and Austin partnership desk.</w:t>
      </w:r>
    </w:p>
    <w:p>
      <w:r>
        <w:t>policy domain: AI governance. scope: NuriFlow Systems, Seoul HQ, Singapore customer success office, and Austin partnership desk, and all product teams supporting InsightBridge.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2026-04-30; v1.1 adds Marketplace Preview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