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2026-04-30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launch-498bf6, workflow-bf63f4, workflow-3f4ef3, partner-ef36af, deadline-6afcbf, citation-cbf427, exception-427e99, customer-e99feb, readiness-febc8e, product-c8ed7a, legal-d7a0f0, partner-0f0487, owner-48745a, product-45adc7, account-dc7c6b, engineering-c6b073, engineering-073aa2, template-aa20d4, customer-0d4e22, regional-e227b3, engineering-7b37, policy-7, support-8bf63f, template-63f4ef, renewal-4ef36a, renewal-36afcb, adoption-fcbf42, renewal-f427e9, milestone-7e99fe, reviewer-9febc8, reviewer-bc8ed7, variance-ed7a0f, source-a0f048, audit-048745, readiness-745adc, policy-adc7c6. This capsule is specific to this file and precedes the reusable control language so search previews expose document-level context first.</w:t>
      </w:r>
    </w:p>
    <w:p>
      <w:pPr>
        <w:pStyle w:val="Title"/>
      </w:pPr>
      <w:r>
        <w:t>InsightBridge Ai Governance Policy 2026-04-30</w:t>
      </w:r>
    </w:p>
    <w:p>
      <w:pPr>
        <w:pStyle w:val="Heading1"/>
      </w:pPr>
      <w:r>
        <w:t>Summary</w:t>
      </w:r>
    </w:p>
    <w:p>
      <w:r>
        <w:t>The sample supports search validation by repeating core company facts only after presenting a unique customer scenario and category-specific control language. Evidence marker NF-4519; customer=Summit BioLabs; industry=biotech; product=InsightBridge; companion_product=Marketplace Preview; office_scope=Seoul HQ, Singapore customer success office, and Austin partnership desk.</w:t>
      </w:r>
    </w:p>
    <w:p>
      <w:r>
        <w:t>policy domain: AI governance. scope: NuriFlow Systems, Seoul HQ, Singapore customer success office, and Austin partnership desk, and all product teams supporting InsightBridge.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2026-04-30; v1.1 adds Marketplace Preview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