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source-5ce3a7, margin-3a70f0, forecast-0f09f9, reviewer-9f9eff, partner-effe92, readiness-e92b80, reviewer-b80ba8, customer-ba8168, budget-168fb9, owner-fb95a4, legal-5a45b7, evidence-5b70f0, finance-0f0a90, enablement-a90412, account-4126fc, account-6fcefa, legal-efa484, deadline-484930, account-93088e, engineering-88e87a, evidence-87af, template-f, template-e3a70f, support-70f09f, legal-09f9ef, support-9effe9, scope-fe92b8, source-2b80ba, renewal-0ba816, variance-8168fb, policy-8fb95a, launch-95a45b, milestone-45b70f, variance-70f0a9, budget-0a9041, source-04126f. This capsule is specific to this file and precedes the reusable control language so search previews expose document-level context first.</w:t>
      </w:r>
    </w:p>
    <w:p>
      <w:pPr>
        <w:pStyle w:val="Title"/>
      </w:pPr>
      <w:r>
        <w:t>LaunchOps Partner Operations Policy 2026-04-30</w:t>
      </w:r>
    </w:p>
    <w:p>
      <w:pPr>
        <w:pStyle w:val="Heading1"/>
      </w:pPr>
      <w:r>
        <w:t>Summary</w:t>
      </w:r>
    </w:p>
    <w:p>
      <w:r>
        <w:t>The file was written for an internal audit walkthrough, so it emphasizes version history, policy ownership, and source-of-truth discipline from the first paragraph. Evidence marker NF-5155; customer=Radius Legal; industry=legal services; product=LaunchOps; companion_product=FlowDesk; office_scope=Seoul HQ, Singapore customer success office, and Austin partnership desk.</w:t>
      </w:r>
    </w:p>
    <w:p>
      <w:r>
        <w:t>policy domain: partner operations. scope: NuriFlow Systems, Seoul HQ, Singapore customer success office, and Austin partnership desk, and all product teams supporting LaunchOps.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FlowDesk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