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5F20" w14:textId="77777777" w:rsidR="007074B9" w:rsidRDefault="00000000">
      <w:pPr>
        <w:spacing w:after="40"/>
      </w:pPr>
      <w:r>
        <w:rPr>
          <w:color w:val="555555"/>
        </w:rPr>
        <w:t>Production Metrics Dashboard</w:t>
      </w:r>
    </w:p>
    <w:p w14:paraId="407536DA" w14:textId="77777777" w:rsidR="007074B9" w:rsidRDefault="00000000">
      <w:pPr>
        <w:spacing w:after="200"/>
      </w:pPr>
      <w:r>
        <w:rPr>
          <w:b/>
          <w:bCs/>
          <w:sz w:val="40"/>
          <w:szCs w:val="40"/>
        </w:rPr>
        <w:t>Custom Chart Labels — Method &amp; Setup</w:t>
      </w:r>
    </w:p>
    <w:p w14:paraId="6BC61612" w14:textId="77777777" w:rsidR="007074B9" w:rsidRDefault="00000000">
      <w:pPr>
        <w:spacing w:after="120"/>
      </w:pPr>
      <w:r>
        <w:rPr>
          <w:i/>
          <w:iCs/>
        </w:rPr>
        <w:t xml:space="preserve">How custom chart-title labels (e.g. </w:t>
      </w:r>
      <w:r>
        <w:rPr>
          <w:rFonts w:ascii="Consolas" w:eastAsia="Consolas" w:hAnsi="Consolas" w:cs="Consolas"/>
          <w:sz w:val="18"/>
          <w:szCs w:val="18"/>
        </w:rPr>
        <w:t>Total</w:t>
      </w:r>
      <w:r>
        <w:rPr>
          <w:i/>
          <w:iCs/>
        </w:rPr>
        <w:t xml:space="preserve"> → </w:t>
      </w:r>
      <w:r>
        <w:rPr>
          <w:rFonts w:ascii="Consolas" w:eastAsia="Consolas" w:hAnsi="Consolas" w:cs="Consolas"/>
          <w:sz w:val="18"/>
          <w:szCs w:val="18"/>
        </w:rPr>
        <w:t>Total Tons</w:t>
      </w:r>
      <w:r>
        <w:rPr>
          <w:i/>
          <w:iCs/>
        </w:rPr>
        <w:t xml:space="preserve">) are resolved by the API, why they live in a SQL lookup table rather than the production-report payload, and how to set up the table. Examples reference </w:t>
      </w:r>
      <w:r>
        <w:rPr>
          <w:rFonts w:ascii="Consolas" w:eastAsia="Consolas" w:hAnsi="Consolas" w:cs="Consolas"/>
          <w:i/>
          <w:iCs/>
          <w:sz w:val="18"/>
          <w:szCs w:val="18"/>
        </w:rPr>
        <w:t>context/sample-data/production-report/payload-</w:t>
      </w:r>
      <w:proofErr w:type="spellStart"/>
      <w:r>
        <w:rPr>
          <w:rFonts w:ascii="Consolas" w:eastAsia="Consolas" w:hAnsi="Consolas" w:cs="Consolas"/>
          <w:i/>
          <w:iCs/>
          <w:sz w:val="18"/>
          <w:szCs w:val="18"/>
        </w:rPr>
        <w:t>example.json</w:t>
      </w:r>
      <w:proofErr w:type="spellEnd"/>
      <w:r>
        <w:rPr>
          <w:i/>
          <w:iCs/>
        </w:rPr>
        <w:t>.</w:t>
      </w:r>
    </w:p>
    <w:p w14:paraId="29499851" w14:textId="77777777" w:rsidR="007074B9" w:rsidRDefault="00000000">
      <w:pPr>
        <w:pStyle w:val="Heading1"/>
      </w:pPr>
      <w:r>
        <w:t>1. Why a SQL lookup table</w:t>
      </w:r>
    </w:p>
    <w:p w14:paraId="076524EF" w14:textId="77777777" w:rsidR="007074B9" w:rsidRDefault="00000000">
      <w:pPr>
        <w:spacing w:after="120"/>
      </w:pPr>
      <w:r>
        <w:t>The dashboard already exposes the metric key as the chart label (</w:t>
      </w:r>
      <w:r>
        <w:rPr>
          <w:rFonts w:ascii="Consolas" w:eastAsia="Consolas" w:hAnsi="Consolas" w:cs="Consolas"/>
          <w:sz w:val="18"/>
          <w:szCs w:val="18"/>
        </w:rPr>
        <w:t>Total = C1+C8-C7</w:t>
      </w:r>
      <w:r>
        <w:t xml:space="preserve">). The payload’s </w:t>
      </w:r>
      <w:r>
        <w:rPr>
          <w:rFonts w:ascii="Consolas" w:eastAsia="Consolas" w:hAnsi="Consolas" w:cs="Consolas"/>
          <w:sz w:val="18"/>
          <w:szCs w:val="18"/>
        </w:rPr>
        <w:t>Calcs</w:t>
      </w:r>
      <w:r>
        <w:t xml:space="preserve"> entries are the audit trail — they record the formula used for </w:t>
      </w:r>
      <w:r>
        <w:rPr>
          <w:b/>
          <w:bCs/>
        </w:rPr>
        <w:t>that report’s window</w:t>
      </w:r>
      <w:r>
        <w:t xml:space="preserve">. A label is the opposite: it is presentation, not data. If you decide to rename </w:t>
      </w:r>
      <w:r>
        <w:rPr>
          <w:rFonts w:ascii="Consolas" w:eastAsia="Consolas" w:hAnsi="Consolas" w:cs="Consolas"/>
          <w:sz w:val="18"/>
          <w:szCs w:val="18"/>
        </w:rPr>
        <w:t>Total</w:t>
      </w:r>
      <w:r>
        <w:t xml:space="preserve"> to </w:t>
      </w:r>
      <w:r>
        <w:rPr>
          <w:rFonts w:ascii="Consolas" w:eastAsia="Consolas" w:hAnsi="Consolas" w:cs="Consolas"/>
          <w:sz w:val="18"/>
          <w:szCs w:val="18"/>
        </w:rPr>
        <w:t>Net Tonnage</w:t>
      </w:r>
      <w:r>
        <w:t>, every chart — current and historical — should flip immediately. Putting labels in the payload bakes them into history; a lookup table makes the change one-edit-many-affect.</w:t>
      </w:r>
    </w:p>
    <w:p w14:paraId="4E469F91" w14:textId="77777777" w:rsidR="007074B9" w:rsidRDefault="00000000">
      <w:pPr>
        <w:spacing w:after="120"/>
      </w:pPr>
      <w:r>
        <w:t>Operational reasons that stack on the same side:</w:t>
      </w:r>
    </w:p>
    <w:p w14:paraId="0664671B" w14:textId="77777777" w:rsidR="007074B9" w:rsidRDefault="00000000">
      <w:pPr>
        <w:pStyle w:val="ListParagraph"/>
        <w:numPr>
          <w:ilvl w:val="0"/>
          <w:numId w:val="2"/>
        </w:numPr>
        <w:spacing w:after="60"/>
      </w:pPr>
      <w:r>
        <w:t>One place to edit. A DBA updates a row, the API picks it up on the next cache refresh, every site’s dashboard shows the new label.</w:t>
      </w:r>
    </w:p>
    <w:p w14:paraId="54D419B9" w14:textId="77777777" w:rsidR="007074B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Matches the existing Departments pattern. </w:t>
      </w:r>
      <w:proofErr w:type="spellStart"/>
      <w:r>
        <w:t>Workcenter</w:t>
      </w:r>
      <w:proofErr w:type="spellEnd"/>
      <w:r>
        <w:t xml:space="preserve"> names already resolve via a cross-database LEFT JOIN to </w:t>
      </w:r>
      <w:proofErr w:type="spellStart"/>
      <w:r>
        <w:rPr>
          <w:rFonts w:ascii="Consolas" w:eastAsia="Consolas" w:hAnsi="Consolas" w:cs="Consolas"/>
          <w:sz w:val="18"/>
          <w:szCs w:val="18"/>
        </w:rPr>
        <w:t>DailyProductionEntry.dbo</w:t>
      </w:r>
      <w:proofErr w:type="gramStart"/>
      <w:r>
        <w:rPr>
          <w:rFonts w:ascii="Consolas" w:eastAsia="Consolas" w:hAnsi="Consolas" w:cs="Consolas"/>
          <w:sz w:val="18"/>
          <w:szCs w:val="18"/>
        </w:rPr>
        <w:t>.Departments</w:t>
      </w:r>
      <w:proofErr w:type="spellEnd"/>
      <w:proofErr w:type="gramEnd"/>
      <w:r>
        <w:t>. A new admin sees one consistent rule: “configurable display strings live in lookup tables.”</w:t>
      </w:r>
    </w:p>
    <w:p w14:paraId="67EBC0C5" w14:textId="77777777" w:rsidR="007074B9" w:rsidRDefault="00000000">
      <w:pPr>
        <w:pStyle w:val="ListParagraph"/>
        <w:numPr>
          <w:ilvl w:val="0"/>
          <w:numId w:val="2"/>
        </w:numPr>
        <w:spacing w:after="60"/>
      </w:pPr>
      <w:r>
        <w:t>Decouples upstream from downstream. Ignition produces measurements; SQL holds presentation metadata; the API joins them at request time.</w:t>
      </w:r>
    </w:p>
    <w:p w14:paraId="5A4F3B5A" w14:textId="77777777" w:rsidR="007074B9" w:rsidRDefault="00000000">
      <w:pPr>
        <w:pStyle w:val="ListParagraph"/>
        <w:numPr>
          <w:ilvl w:val="0"/>
          <w:numId w:val="2"/>
        </w:numPr>
        <w:spacing w:after="60"/>
      </w:pPr>
      <w:r>
        <w:t>Smaller payloads. Labels don’t repeat in every report row.</w:t>
      </w:r>
    </w:p>
    <w:p w14:paraId="2CA4DA37" w14:textId="77777777" w:rsidR="007074B9" w:rsidRDefault="00000000">
      <w:pPr>
        <w:pStyle w:val="Heading1"/>
      </w:pPr>
      <w:r>
        <w:t>2. Scope — mirroring the Calcs payload</w:t>
      </w:r>
    </w:p>
    <w:p w14:paraId="4B5446BF" w14:textId="77777777" w:rsidR="007074B9" w:rsidRDefault="00000000">
      <w:pPr>
        <w:spacing w:after="120"/>
      </w:pPr>
      <w:r>
        <w:t xml:space="preserve">The lookup is keyed by a </w:t>
      </w:r>
      <w:r>
        <w:rPr>
          <w:rFonts w:ascii="Consolas" w:eastAsia="Consolas" w:hAnsi="Consolas" w:cs="Consolas"/>
          <w:sz w:val="18"/>
          <w:szCs w:val="18"/>
        </w:rPr>
        <w:t>Scope</w:t>
      </w:r>
      <w:r>
        <w:t xml:space="preserve"> column whose values mirror the JSON path levels where </w:t>
      </w:r>
      <w:r>
        <w:rPr>
          <w:rFonts w:ascii="Consolas" w:eastAsia="Consolas" w:hAnsi="Consolas" w:cs="Consolas"/>
          <w:sz w:val="18"/>
          <w:szCs w:val="18"/>
        </w:rPr>
        <w:t>Calcs</w:t>
      </w:r>
      <w:r>
        <w:t xml:space="preserve"> can appear in the payload. The same metric key can resolve to a different label at each scope, so </w:t>
      </w:r>
      <w:proofErr w:type="spellStart"/>
      <w:r>
        <w:t>workcenter</w:t>
      </w:r>
      <w:proofErr w:type="spellEnd"/>
      <w:r>
        <w:t xml:space="preserve">-level </w:t>
      </w:r>
      <w:r>
        <w:rPr>
          <w:rFonts w:ascii="Consolas" w:eastAsia="Consolas" w:hAnsi="Consolas" w:cs="Consolas"/>
          <w:sz w:val="18"/>
          <w:szCs w:val="18"/>
        </w:rPr>
        <w:t>Total</w:t>
      </w:r>
      <w:r>
        <w:t xml:space="preserve"> can read “Total Tons” while circuit-level </w:t>
      </w:r>
      <w:r>
        <w:rPr>
          <w:rFonts w:ascii="Consolas" w:eastAsia="Consolas" w:hAnsi="Consolas" w:cs="Consolas"/>
          <w:sz w:val="18"/>
          <w:szCs w:val="18"/>
        </w:rPr>
        <w:t>Total</w:t>
      </w:r>
      <w:r>
        <w:t xml:space="preserve"> reads “Circuit Tons.”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200"/>
        <w:gridCol w:w="2760"/>
      </w:tblGrid>
      <w:tr w:rsidR="007074B9" w14:paraId="4D55930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F443" w14:textId="77777777" w:rsidR="007074B9" w:rsidRDefault="00000000">
            <w:r>
              <w:rPr>
                <w:b/>
                <w:bCs/>
                <w:color w:val="FFFFFF"/>
                <w:sz w:val="20"/>
                <w:szCs w:val="20"/>
              </w:rPr>
              <w:t>JSON path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973D" w14:textId="77777777" w:rsidR="007074B9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BE463" w14:textId="77777777" w:rsidR="007074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Scope_Id</w:t>
            </w:r>
            <w:proofErr w:type="spellEnd"/>
          </w:p>
        </w:tc>
      </w:tr>
      <w:tr w:rsidR="007074B9" w14:paraId="1D7793D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CD41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Workcenter.Calcs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.&lt;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m&gt;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176B" w14:textId="77777777" w:rsidR="007074B9" w:rsidRDefault="00000000">
            <w:proofErr w:type="spellStart"/>
            <w:r>
              <w:rPr>
                <w:sz w:val="20"/>
                <w:szCs w:val="20"/>
              </w:rPr>
              <w:t>workcenter</w:t>
            </w:r>
            <w:proofErr w:type="spellEnd"/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57CA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</w:tr>
      <w:tr w:rsidR="007074B9" w14:paraId="54F1894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03099" w14:textId="77777777" w:rsidR="007074B9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&gt;.Calcs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.&lt;m&gt;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5109B" w14:textId="77777777" w:rsidR="007074B9" w:rsidRDefault="00000000">
            <w:r>
              <w:rPr>
                <w:sz w:val="20"/>
                <w:szCs w:val="20"/>
              </w:rPr>
              <w:t>circuit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FEE7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cid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&gt; (or NULL = all circuits)</w:t>
            </w:r>
          </w:p>
        </w:tc>
      </w:tr>
      <w:tr w:rsidR="007074B9" w14:paraId="667C61C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67AD" w14:textId="77777777" w:rsidR="007074B9" w:rsidRDefault="00000000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cid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&gt;.Line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.&lt;lid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&gt;.Calcs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.&lt;m&gt;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38BB" w14:textId="77777777" w:rsidR="007074B9" w:rsidRDefault="00000000">
            <w:r>
              <w:rPr>
                <w:sz w:val="20"/>
                <w:szCs w:val="20"/>
              </w:rPr>
              <w:t>line</w:t>
            </w:r>
          </w:p>
        </w:tc>
        <w:tc>
          <w:tcPr>
            <w:tcW w:w="27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3274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&lt;lid&gt; (or NULL = all lines)</w:t>
            </w:r>
          </w:p>
        </w:tc>
      </w:tr>
    </w:tbl>
    <w:p w14:paraId="67F647CF" w14:textId="77777777" w:rsidR="00A555AD" w:rsidRDefault="00A555AD">
      <w:pPr>
        <w:pStyle w:val="Heading1"/>
      </w:pPr>
    </w:p>
    <w:p w14:paraId="6C9B685E" w14:textId="77777777" w:rsidR="00A555AD" w:rsidRDefault="00A555AD">
      <w:pPr>
        <w:pStyle w:val="Heading1"/>
      </w:pPr>
    </w:p>
    <w:p w14:paraId="0F2520EF" w14:textId="77777777" w:rsidR="00A555AD" w:rsidRDefault="00A555AD">
      <w:pPr>
        <w:pStyle w:val="Heading1"/>
      </w:pPr>
    </w:p>
    <w:p w14:paraId="5CCB877F" w14:textId="77777777" w:rsidR="00A555AD" w:rsidRDefault="00A555AD">
      <w:pPr>
        <w:pStyle w:val="Heading1"/>
      </w:pPr>
    </w:p>
    <w:p w14:paraId="09E9D5E2" w14:textId="77777777" w:rsidR="00A555AD" w:rsidRDefault="00A555AD">
      <w:pPr>
        <w:pStyle w:val="Heading1"/>
      </w:pPr>
    </w:p>
    <w:p w14:paraId="7B7378E0" w14:textId="77777777" w:rsidR="00A555AD" w:rsidRDefault="00A555AD">
      <w:pPr>
        <w:pStyle w:val="Heading1"/>
      </w:pPr>
    </w:p>
    <w:p w14:paraId="4CC02719" w14:textId="54166D7F" w:rsidR="007074B9" w:rsidRDefault="00000000">
      <w:pPr>
        <w:pStyle w:val="Heading1"/>
      </w:pPr>
      <w:r>
        <w:lastRenderedPageBreak/>
        <w:t>3. Database table</w:t>
      </w:r>
    </w:p>
    <w:p w14:paraId="02A8C413" w14:textId="77777777" w:rsidR="007074B9" w:rsidRDefault="00000000">
      <w:pPr>
        <w:spacing w:after="120"/>
      </w:pPr>
      <w:r>
        <w:t xml:space="preserve">Suggested table, placed alongside the existing Departments lookup in the </w:t>
      </w:r>
      <w:proofErr w:type="spellStart"/>
      <w:r>
        <w:rPr>
          <w:rFonts w:ascii="Consolas" w:eastAsia="Consolas" w:hAnsi="Consolas" w:cs="Consolas"/>
          <w:sz w:val="18"/>
          <w:szCs w:val="18"/>
        </w:rPr>
        <w:t>DailyProductionEntry</w:t>
      </w:r>
      <w:proofErr w:type="spellEnd"/>
      <w:r>
        <w:t xml:space="preserve"> database. The API’s read-only account must hold </w:t>
      </w:r>
      <w:r>
        <w:rPr>
          <w:rFonts w:ascii="Consolas" w:eastAsia="Consolas" w:hAnsi="Consolas" w:cs="Consolas"/>
          <w:sz w:val="18"/>
          <w:szCs w:val="18"/>
        </w:rPr>
        <w:t>SELECT</w:t>
      </w:r>
      <w:r>
        <w:t xml:space="preserve"> on it.</w:t>
      </w:r>
    </w:p>
    <w:p w14:paraId="1F76C626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CREATE TABLE [</w:t>
      </w:r>
      <w:proofErr w:type="spellStart"/>
      <w:r>
        <w:rPr>
          <w:rFonts w:ascii="Consolas" w:eastAsia="Consolas" w:hAnsi="Consolas" w:cs="Consolas"/>
          <w:sz w:val="18"/>
          <w:szCs w:val="18"/>
        </w:rPr>
        <w:t>DailyProductionEntry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dbo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ChartLabels</w:t>
      </w:r>
      <w:proofErr w:type="spellEnd"/>
      <w:r>
        <w:rPr>
          <w:rFonts w:ascii="Consolas" w:eastAsia="Consolas" w:hAnsi="Consolas" w:cs="Consolas"/>
          <w:sz w:val="18"/>
          <w:szCs w:val="18"/>
        </w:rPr>
        <w:t>] (</w:t>
      </w:r>
    </w:p>
    <w:p w14:paraId="2A9C70F5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Site_Id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8)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-- NULL = applies to all sites</w:t>
      </w:r>
    </w:p>
    <w:p w14:paraId="4EA6269E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Department_</w:t>
      </w:r>
      <w:proofErr w:type="gramStart"/>
      <w:r>
        <w:rPr>
          <w:rFonts w:ascii="Consolas" w:eastAsia="Consolas" w:hAnsi="Consolas" w:cs="Consolas"/>
          <w:sz w:val="18"/>
          <w:szCs w:val="18"/>
        </w:rPr>
        <w:t>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VARCHAR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(8) 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-- NULL = applies to all 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workcenters</w:t>
      </w:r>
      <w:proofErr w:type="spellEnd"/>
    </w:p>
    <w:p w14:paraId="57245D67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Scope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16)   NOT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-- '</w:t>
      </w:r>
      <w:proofErr w:type="spellStart"/>
      <w:r>
        <w:rPr>
          <w:rFonts w:ascii="Consolas" w:eastAsia="Consolas" w:hAnsi="Consolas" w:cs="Consolas"/>
          <w:sz w:val="18"/>
          <w:szCs w:val="18"/>
        </w:rPr>
        <w:t>workcenter</w:t>
      </w:r>
      <w:proofErr w:type="spellEnd"/>
      <w:r>
        <w:rPr>
          <w:rFonts w:ascii="Consolas" w:eastAsia="Consolas" w:hAnsi="Consolas" w:cs="Consolas"/>
          <w:sz w:val="18"/>
          <w:szCs w:val="18"/>
        </w:rPr>
        <w:t>' | 'circuit' | 'line'</w:t>
      </w:r>
    </w:p>
    <w:p w14:paraId="292028BD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Scope_Id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16)  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    -- </w:t>
      </w:r>
      <w:proofErr w:type="spellStart"/>
      <w:r>
        <w:rPr>
          <w:rFonts w:ascii="Consolas" w:eastAsia="Consolas" w:hAnsi="Consolas" w:cs="Consolas"/>
          <w:sz w:val="18"/>
          <w:szCs w:val="18"/>
        </w:rPr>
        <w:t>circuit_id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line_id</w:t>
      </w:r>
      <w:proofErr w:type="spellEnd"/>
      <w:r>
        <w:rPr>
          <w:rFonts w:ascii="Consolas" w:eastAsia="Consolas" w:hAnsi="Consolas" w:cs="Consolas"/>
          <w:sz w:val="18"/>
          <w:szCs w:val="18"/>
        </w:rPr>
        <w:t>, NULL = wildcard</w:t>
      </w:r>
    </w:p>
    <w:p w14:paraId="51C798DA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Metric_Key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32)   NOT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-- 'Total' | 'Rate' | 'Yield' | 'Performance' | 'Availability'</w:t>
      </w:r>
    </w:p>
    <w:p w14:paraId="713FB3E4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Label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NVARCHAR(</w:t>
      </w:r>
      <w:proofErr w:type="gramEnd"/>
      <w:r>
        <w:rPr>
          <w:rFonts w:ascii="Consolas" w:eastAsia="Consolas" w:hAnsi="Consolas" w:cs="Consolas"/>
          <w:sz w:val="18"/>
          <w:szCs w:val="18"/>
        </w:rPr>
        <w:t>128) NOT NULL,</w:t>
      </w:r>
    </w:p>
    <w:p w14:paraId="33E523B8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PRIMARY KEY (</w:t>
      </w:r>
      <w:proofErr w:type="spellStart"/>
      <w:r>
        <w:rPr>
          <w:rFonts w:ascii="Consolas" w:eastAsia="Consolas" w:hAnsi="Consolas" w:cs="Consolas"/>
          <w:sz w:val="18"/>
          <w:szCs w:val="18"/>
        </w:rPr>
        <w:t>Site_Id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Scope,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Scope_Id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Metric_Key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78982747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);</w:t>
      </w:r>
    </w:p>
    <w:p w14:paraId="0027BC0B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659F2E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-- Index used by the API's startup cache load.</w:t>
      </w:r>
    </w:p>
    <w:p w14:paraId="48986F7E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CREATE INDEX </w:t>
      </w:r>
      <w:proofErr w:type="spellStart"/>
      <w:r>
        <w:rPr>
          <w:rFonts w:ascii="Consolas" w:eastAsia="Consolas" w:hAnsi="Consolas" w:cs="Consolas"/>
          <w:sz w:val="18"/>
          <w:szCs w:val="18"/>
        </w:rPr>
        <w:t>IX_ChartLabels_Scope_Metric</w:t>
      </w:r>
      <w:proofErr w:type="spellEnd"/>
    </w:p>
    <w:p w14:paraId="1AFA1D6F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ON [</w:t>
      </w:r>
      <w:proofErr w:type="spellStart"/>
      <w:r>
        <w:rPr>
          <w:rFonts w:ascii="Consolas" w:eastAsia="Consolas" w:hAnsi="Consolas" w:cs="Consolas"/>
          <w:sz w:val="18"/>
          <w:szCs w:val="18"/>
        </w:rPr>
        <w:t>DailyProductionEntry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dbo</w:t>
      </w:r>
      <w:proofErr w:type="spellEnd"/>
      <w:proofErr w:type="gramStart"/>
      <w:r>
        <w:rPr>
          <w:rFonts w:ascii="Consolas" w:eastAsia="Consolas" w:hAnsi="Consolas" w:cs="Consolas"/>
          <w:sz w:val="18"/>
          <w:szCs w:val="18"/>
        </w:rPr>
        <w:t>].[</w:t>
      </w:r>
      <w:proofErr w:type="spellStart"/>
      <w:proofErr w:type="gramEnd"/>
      <w:r>
        <w:rPr>
          <w:rFonts w:ascii="Consolas" w:eastAsia="Consolas" w:hAnsi="Consolas" w:cs="Consolas"/>
          <w:sz w:val="18"/>
          <w:szCs w:val="18"/>
        </w:rPr>
        <w:t>ChartLabels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] (Scope, </w:t>
      </w:r>
      <w:proofErr w:type="spellStart"/>
      <w:r>
        <w:rPr>
          <w:rFonts w:ascii="Consolas" w:eastAsia="Consolas" w:hAnsi="Consolas" w:cs="Consolas"/>
          <w:sz w:val="18"/>
          <w:szCs w:val="18"/>
        </w:rPr>
        <w:t>Metric_Key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0847DD28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 xml:space="preserve">    INCLUDE (</w:t>
      </w:r>
      <w:proofErr w:type="spellStart"/>
      <w:r>
        <w:rPr>
          <w:rFonts w:ascii="Consolas" w:eastAsia="Consolas" w:hAnsi="Consolas" w:cs="Consolas"/>
          <w:sz w:val="18"/>
          <w:szCs w:val="18"/>
        </w:rPr>
        <w:t>Site_Id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Department_Id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Scope_Id</w:t>
      </w:r>
      <w:proofErr w:type="spellEnd"/>
      <w:r>
        <w:rPr>
          <w:rFonts w:ascii="Consolas" w:eastAsia="Consolas" w:hAnsi="Consolas" w:cs="Consolas"/>
          <w:sz w:val="18"/>
          <w:szCs w:val="18"/>
        </w:rPr>
        <w:t>, Label);</w:t>
      </w:r>
    </w:p>
    <w:p w14:paraId="47FBF2FD" w14:textId="77777777" w:rsidR="007074B9" w:rsidRDefault="00000000">
      <w:pPr>
        <w:spacing w:after="120"/>
      </w:pPr>
      <w:r>
        <w:t>Notes on the columns:</w:t>
      </w:r>
    </w:p>
    <w:p w14:paraId="27A5BB3D" w14:textId="77777777" w:rsidR="007074B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Site_Id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Department_Id</w:t>
      </w:r>
      <w:proofErr w:type="spellEnd"/>
      <w:r>
        <w:t xml:space="preserve"> — nullable so a single row can apply globally, per-site, or per-</w:t>
      </w:r>
      <w:proofErr w:type="spellStart"/>
      <w:r>
        <w:t>workcenter</w:t>
      </w:r>
      <w:proofErr w:type="spellEnd"/>
      <w:r>
        <w:t>. Most rows will leave both NULL.</w:t>
      </w:r>
    </w:p>
    <w:p w14:paraId="1C0CD925" w14:textId="77777777" w:rsidR="007074B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Scope_Id</w:t>
      </w:r>
      <w:proofErr w:type="spellEnd"/>
      <w:r>
        <w:t xml:space="preserve"> — only populated when overriding a specific circuit or line; NULL means “applies to every circuit/line at this scope.”</w:t>
      </w:r>
    </w:p>
    <w:p w14:paraId="33F32CF2" w14:textId="77777777" w:rsidR="007074B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</w:rPr>
        <w:t>Metric_Key</w:t>
      </w:r>
      <w:proofErr w:type="spellEnd"/>
      <w:r>
        <w:t xml:space="preserve"> — the literal key inside the </w:t>
      </w:r>
      <w:r>
        <w:rPr>
          <w:rFonts w:ascii="Consolas" w:eastAsia="Consolas" w:hAnsi="Consolas" w:cs="Consolas"/>
          <w:sz w:val="18"/>
          <w:szCs w:val="18"/>
        </w:rPr>
        <w:t>Calcs</w:t>
      </w:r>
      <w:r>
        <w:t xml:space="preserve"> object (case-sensitive: </w:t>
      </w:r>
      <w:r>
        <w:rPr>
          <w:rFonts w:ascii="Consolas" w:eastAsia="Consolas" w:hAnsi="Consolas" w:cs="Consolas"/>
          <w:sz w:val="18"/>
          <w:szCs w:val="18"/>
        </w:rPr>
        <w:t>Total</w:t>
      </w:r>
      <w:r>
        <w:t xml:space="preserve">, not </w:t>
      </w:r>
      <w:r>
        <w:rPr>
          <w:rFonts w:ascii="Consolas" w:eastAsia="Consolas" w:hAnsi="Consolas" w:cs="Consolas"/>
          <w:sz w:val="18"/>
          <w:szCs w:val="18"/>
        </w:rPr>
        <w:t>total</w:t>
      </w:r>
      <w:r>
        <w:t>).</w:t>
      </w:r>
    </w:p>
    <w:p w14:paraId="131004DA" w14:textId="77777777" w:rsidR="007074B9" w:rsidRDefault="00000000">
      <w:pPr>
        <w:pStyle w:val="Heading1"/>
      </w:pPr>
      <w:r>
        <w:t>4. Resolution order</w:t>
      </w:r>
    </w:p>
    <w:p w14:paraId="6896D6DD" w14:textId="77777777" w:rsidR="007074B9" w:rsidRDefault="00000000">
      <w:pPr>
        <w:spacing w:after="120"/>
      </w:pPr>
      <w:r>
        <w:t xml:space="preserve">The API resolves labels most-specific to least-specific, falling through until a row matches. If nothing matches, the metric key itself is rendered (the current </w:t>
      </w:r>
      <w:proofErr w:type="spellStart"/>
      <w:r>
        <w:t>behaviour</w:t>
      </w:r>
      <w:proofErr w:type="spellEnd"/>
      <w:r>
        <w:t>). This means the table can be empty on day one and the dashboard keeps working.</w:t>
      </w:r>
    </w:p>
    <w:p w14:paraId="7DBDDAE9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site_id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scope, </w:t>
      </w:r>
      <w:proofErr w:type="spellStart"/>
      <w:r>
        <w:rPr>
          <w:rFonts w:ascii="Consolas" w:eastAsia="Consolas" w:hAnsi="Consolas" w:cs="Consolas"/>
          <w:sz w:val="18"/>
          <w:szCs w:val="18"/>
        </w:rPr>
        <w:t>scope_id</w:t>
      </w:r>
      <w:proofErr w:type="spellEnd"/>
      <w:r>
        <w:rPr>
          <w:rFonts w:ascii="Consolas" w:eastAsia="Consolas" w:hAnsi="Consolas" w:cs="Consolas"/>
          <w:sz w:val="18"/>
          <w:szCs w:val="18"/>
        </w:rPr>
        <w:t>, metric)</w:t>
      </w:r>
    </w:p>
    <w:p w14:paraId="77841BCB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site_id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dept_id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scope,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metric)</w:t>
      </w:r>
    </w:p>
    <w:p w14:paraId="222B4464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site_id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scope,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metric)</w:t>
      </w:r>
    </w:p>
    <w:p w14:paraId="70EB7DBA" w14:textId="77777777" w:rsidR="007074B9" w:rsidRDefault="00000000">
      <w:pPr>
        <w:shd w:val="clear" w:color="auto" w:fill="F4F4F4"/>
      </w:pPr>
      <w:r>
        <w:rPr>
          <w:rFonts w:ascii="Consolas" w:eastAsia="Consolas" w:hAnsi="Consolas" w:cs="Consolas"/>
          <w:sz w:val="18"/>
          <w:szCs w:val="18"/>
        </w:rPr>
        <w:t>(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scope, </w:t>
      </w:r>
      <w:proofErr w:type="gramStart"/>
      <w:r>
        <w:rPr>
          <w:rFonts w:ascii="Consolas" w:eastAsia="Consolas" w:hAnsi="Consolas" w:cs="Consolas"/>
          <w:sz w:val="18"/>
          <w:szCs w:val="18"/>
        </w:rPr>
        <w:t xml:space="preserve">NULL,   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 metric)</w:t>
      </w:r>
    </w:p>
    <w:p w14:paraId="15433AC4" w14:textId="77777777" w:rsidR="007074B9" w:rsidRDefault="00000000">
      <w:pPr>
        <w:shd w:val="clear" w:color="auto" w:fill="F4F4F4"/>
      </w:pPr>
      <w:proofErr w:type="spellStart"/>
      <w:r>
        <w:rPr>
          <w:rFonts w:ascii="Consolas" w:eastAsia="Consolas" w:hAnsi="Consolas" w:cs="Consolas"/>
          <w:sz w:val="18"/>
          <w:szCs w:val="18"/>
        </w:rPr>
        <w:t>metric_</w:t>
      </w:r>
      <w:proofErr w:type="gramStart"/>
      <w:r>
        <w:rPr>
          <w:rFonts w:ascii="Consolas" w:eastAsia="Consolas" w:hAnsi="Consolas" w:cs="Consolas"/>
          <w:sz w:val="18"/>
          <w:szCs w:val="18"/>
        </w:rPr>
        <w:t>key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(</w:t>
      </w:r>
      <w:proofErr w:type="gramEnd"/>
      <w:r>
        <w:rPr>
          <w:rFonts w:ascii="Consolas" w:eastAsia="Consolas" w:hAnsi="Consolas" w:cs="Consolas"/>
          <w:sz w:val="18"/>
          <w:szCs w:val="18"/>
        </w:rPr>
        <w:t>hard-coded fallback in code)</w:t>
      </w:r>
    </w:p>
    <w:p w14:paraId="4F321DC9" w14:textId="77777777" w:rsidR="007074B9" w:rsidRDefault="00000000">
      <w:pPr>
        <w:spacing w:after="120"/>
      </w:pPr>
      <w:proofErr w:type="gramStart"/>
      <w:r>
        <w:t>Recommended in-API</w:t>
      </w:r>
      <w:proofErr w:type="gramEnd"/>
      <w:r>
        <w:t xml:space="preserve"> implementation: pull the entire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ChartLabels</w:t>
      </w:r>
      <w:proofErr w:type="spellEnd"/>
      <w:r>
        <w:t xml:space="preserve"> table once at startup into a small </w:t>
      </w:r>
      <w:proofErr w:type="spellStart"/>
      <w:r>
        <w:t>dict</w:t>
      </w:r>
      <w:proofErr w:type="spellEnd"/>
      <w:r>
        <w:t xml:space="preserve"> keyed by the resolution tuple, refresh on the same TTL as the other caches. Label resolution at chart-build time is then a hash lookup — no per-row JOIN, no extra round-trip.</w:t>
      </w:r>
    </w:p>
    <w:p w14:paraId="50AD84C8" w14:textId="79553561" w:rsidR="007074B9" w:rsidRDefault="00000000">
      <w:pPr>
        <w:pStyle w:val="Heading1"/>
      </w:pPr>
      <w:r>
        <w:t>5. Example rows</w:t>
      </w:r>
    </w:p>
    <w:p w14:paraId="2BCBC18D" w14:textId="77777777" w:rsidR="007074B9" w:rsidRDefault="00000000">
      <w:pPr>
        <w:spacing w:after="120"/>
      </w:pPr>
      <w:r>
        <w:t>Recommended seed rows covering every metric key observed in the current payload, with one per-circuit override at the end as an illustration: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700"/>
        <w:gridCol w:w="1600"/>
        <w:gridCol w:w="1200"/>
        <w:gridCol w:w="1500"/>
        <w:gridCol w:w="2260"/>
      </w:tblGrid>
      <w:tr w:rsidR="007074B9" w14:paraId="105E11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D1058" w14:textId="77777777" w:rsidR="007074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Site_Id</w:t>
            </w:r>
            <w:proofErr w:type="spellEnd"/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DCCE" w14:textId="77777777" w:rsidR="007074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Department_Id</w:t>
            </w:r>
            <w:proofErr w:type="spellEnd"/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BA6B3" w14:textId="77777777" w:rsidR="007074B9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EF08" w14:textId="77777777" w:rsidR="007074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Scope_Id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CBCC2" w14:textId="77777777" w:rsidR="007074B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Metric_Key</w:t>
            </w:r>
            <w:proofErr w:type="spellEnd"/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21075" w14:textId="77777777" w:rsidR="007074B9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</w:tr>
      <w:tr w:rsidR="007074B9" w14:paraId="14FC4B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183A5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3F14F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4F85" w14:textId="77777777" w:rsidR="007074B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89D7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4E5DB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2D9D9" w14:textId="77777777" w:rsidR="007074B9" w:rsidRDefault="00000000">
            <w:r>
              <w:rPr>
                <w:sz w:val="20"/>
                <w:szCs w:val="20"/>
              </w:rPr>
              <w:t>Total Tons</w:t>
            </w:r>
          </w:p>
        </w:tc>
      </w:tr>
      <w:tr w:rsidR="007074B9" w14:paraId="0EBCEB7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D6AE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92B3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AD6C" w14:textId="77777777" w:rsidR="007074B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049E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E8F4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Rate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C464" w14:textId="77777777" w:rsidR="007074B9" w:rsidRDefault="00000000">
            <w:r>
              <w:rPr>
                <w:sz w:val="20"/>
                <w:szCs w:val="20"/>
              </w:rPr>
              <w:t>Average TPH</w:t>
            </w:r>
          </w:p>
        </w:tc>
      </w:tr>
      <w:tr w:rsidR="007074B9" w14:paraId="7C25F8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5A52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B077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934E" w14:textId="77777777" w:rsidR="007074B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06FA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9789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Performance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4035" w14:textId="77777777" w:rsidR="007074B9" w:rsidRDefault="00000000">
            <w:r>
              <w:rPr>
                <w:sz w:val="20"/>
                <w:szCs w:val="20"/>
              </w:rPr>
              <w:t>Performance</w:t>
            </w:r>
          </w:p>
        </w:tc>
      </w:tr>
      <w:tr w:rsidR="007074B9" w14:paraId="32AA45A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2A1C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5475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5CFA3" w14:textId="77777777" w:rsidR="007074B9" w:rsidRDefault="00000000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B96D3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60B2C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Availability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6DC0" w14:textId="77777777" w:rsidR="007074B9" w:rsidRDefault="00000000">
            <w:r>
              <w:rPr>
                <w:sz w:val="20"/>
                <w:szCs w:val="20"/>
              </w:rPr>
              <w:t>Runtime %</w:t>
            </w:r>
          </w:p>
        </w:tc>
      </w:tr>
      <w:tr w:rsidR="007074B9" w14:paraId="0399B39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DF419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4F47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3BB9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circuit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F563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58DE3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1CC7" w14:textId="77777777" w:rsidR="007074B9" w:rsidRDefault="00000000">
            <w:r>
              <w:rPr>
                <w:sz w:val="20"/>
                <w:szCs w:val="20"/>
              </w:rPr>
              <w:t>Circuit Tons</w:t>
            </w:r>
          </w:p>
        </w:tc>
      </w:tr>
      <w:tr w:rsidR="007074B9" w14:paraId="0C5FC3B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AA123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47EEC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62151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circuit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E463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7A24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Rate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7831" w14:textId="77777777" w:rsidR="007074B9" w:rsidRDefault="00000000">
            <w:r>
              <w:rPr>
                <w:sz w:val="20"/>
                <w:szCs w:val="20"/>
              </w:rPr>
              <w:t>Circuit TPH</w:t>
            </w:r>
          </w:p>
        </w:tc>
      </w:tr>
      <w:tr w:rsidR="007074B9" w14:paraId="592EF6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5477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4546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8BC9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circuit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67371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6C3A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Yield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AD10" w14:textId="77777777" w:rsidR="007074B9" w:rsidRDefault="00000000">
            <w:r>
              <w:rPr>
                <w:sz w:val="20"/>
                <w:szCs w:val="20"/>
              </w:rPr>
              <w:t>Circuit Yield</w:t>
            </w:r>
          </w:p>
        </w:tc>
      </w:tr>
      <w:tr w:rsidR="007074B9" w14:paraId="5E47EC4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0A89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51032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33B1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AEBEF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1979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1525" w14:textId="77777777" w:rsidR="007074B9" w:rsidRDefault="00000000">
            <w:r>
              <w:rPr>
                <w:sz w:val="20"/>
                <w:szCs w:val="20"/>
              </w:rPr>
              <w:t>Line Tons</w:t>
            </w:r>
          </w:p>
        </w:tc>
      </w:tr>
      <w:tr w:rsidR="007074B9" w14:paraId="3D89852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056B5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B1B59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4E4A6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47A70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9F51F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Rate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AFAE" w14:textId="77777777" w:rsidR="007074B9" w:rsidRDefault="00000000">
            <w:r>
              <w:rPr>
                <w:sz w:val="20"/>
                <w:szCs w:val="20"/>
              </w:rPr>
              <w:t>Line TPH</w:t>
            </w:r>
          </w:p>
        </w:tc>
      </w:tr>
      <w:tr w:rsidR="007074B9" w14:paraId="4EAC0A2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BB99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AD0A5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31A4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line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44967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0D2C0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Yield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03E3" w14:textId="77777777" w:rsidR="007074B9" w:rsidRDefault="00000000">
            <w:r>
              <w:rPr>
                <w:sz w:val="20"/>
                <w:szCs w:val="20"/>
              </w:rPr>
              <w:t>Line Yield</w:t>
            </w:r>
          </w:p>
        </w:tc>
      </w:tr>
      <w:tr w:rsidR="007074B9" w14:paraId="01D8E79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D9F22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E9A97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7863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circuit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02629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D594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Total</w:t>
            </w:r>
          </w:p>
        </w:tc>
        <w:tc>
          <w:tcPr>
            <w:tcW w:w="22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4AB6" w14:textId="77777777" w:rsidR="007074B9" w:rsidRDefault="00000000">
            <w:r>
              <w:rPr>
                <w:sz w:val="20"/>
                <w:szCs w:val="20"/>
              </w:rPr>
              <w:t>Crusher Throughput</w:t>
            </w:r>
          </w:p>
        </w:tc>
      </w:tr>
    </w:tbl>
    <w:p w14:paraId="79391332" w14:textId="77777777" w:rsidR="007074B9" w:rsidRDefault="00000000">
      <w:pPr>
        <w:spacing w:after="120"/>
      </w:pPr>
      <w:r>
        <w:t xml:space="preserve">The last row demonstrates a per-circuit override: at Big Canyon (site 101, </w:t>
      </w:r>
      <w:proofErr w:type="spellStart"/>
      <w:r>
        <w:t>workcenter</w:t>
      </w:r>
      <w:proofErr w:type="spellEnd"/>
      <w:r>
        <w:t xml:space="preserve"> 102), the </w:t>
      </w:r>
      <w:r>
        <w:rPr>
          <w:rFonts w:ascii="Consolas" w:eastAsia="Consolas" w:hAnsi="Consolas" w:cs="Consolas"/>
          <w:sz w:val="18"/>
          <w:szCs w:val="18"/>
        </w:rPr>
        <w:t>CR Circuit</w:t>
      </w:r>
      <w:r>
        <w:t xml:space="preserve"> (circuit id </w:t>
      </w:r>
      <w:r>
        <w:rPr>
          <w:rFonts w:ascii="Consolas" w:eastAsia="Consolas" w:hAnsi="Consolas" w:cs="Consolas"/>
          <w:sz w:val="18"/>
          <w:szCs w:val="18"/>
        </w:rPr>
        <w:t>B</w:t>
      </w:r>
      <w:r>
        <w:t>)’s Total chart will display “Crusher Throughput” instead of the generic “Circuit Tons.” Every other circuit still resolves to the wildcard row above it.</w:t>
      </w:r>
    </w:p>
    <w:p w14:paraId="1DA25DBA" w14:textId="77777777" w:rsidR="007074B9" w:rsidRDefault="00000000">
      <w:pPr>
        <w:pStyle w:val="Heading1"/>
      </w:pPr>
      <w:r>
        <w:t>6. Mapping to payload-</w:t>
      </w:r>
      <w:proofErr w:type="spellStart"/>
      <w:proofErr w:type="gramStart"/>
      <w:r>
        <w:t>example.json</w:t>
      </w:r>
      <w:proofErr w:type="spellEnd"/>
      <w:proofErr w:type="gramEnd"/>
    </w:p>
    <w:p w14:paraId="78F27D03" w14:textId="77777777" w:rsidR="007074B9" w:rsidRDefault="00000000">
      <w:pPr>
        <w:spacing w:after="120"/>
      </w:pPr>
      <w:r>
        <w:t xml:space="preserve">Each </w:t>
      </w:r>
      <w:r>
        <w:rPr>
          <w:rFonts w:ascii="Consolas" w:eastAsia="Consolas" w:hAnsi="Consolas" w:cs="Consolas"/>
          <w:sz w:val="18"/>
          <w:szCs w:val="18"/>
        </w:rPr>
        <w:t>Calcs</w:t>
      </w:r>
      <w:r>
        <w:t xml:space="preserve"> entry in the sample payload becomes one chart in the dashboard. The table below walks every </w:t>
      </w:r>
      <w:r>
        <w:rPr>
          <w:rFonts w:ascii="Consolas" w:eastAsia="Consolas" w:hAnsi="Consolas" w:cs="Consolas"/>
          <w:sz w:val="18"/>
          <w:szCs w:val="18"/>
        </w:rPr>
        <w:t>Calcs</w:t>
      </w:r>
      <w:r>
        <w:t xml:space="preserve"> key in the sample and shows the lookup tuple the API would build, plus the resolved label using the seed rows from </w:t>
      </w:r>
      <w:r>
        <w:rPr>
          <w:b/>
          <w:bCs/>
        </w:rPr>
        <w:t>§5</w:t>
      </w:r>
      <w:r>
        <w:t>.</w:t>
      </w: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500"/>
        <w:gridCol w:w="1860"/>
      </w:tblGrid>
      <w:tr w:rsidR="007074B9" w14:paraId="49B946A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D122" w14:textId="77777777" w:rsidR="007074B9" w:rsidRDefault="00000000">
            <w:r>
              <w:rPr>
                <w:b/>
                <w:bCs/>
                <w:color w:val="FFFFFF"/>
                <w:sz w:val="20"/>
                <w:szCs w:val="20"/>
              </w:rPr>
              <w:t>Payload location (in payload-</w:t>
            </w:r>
            <w:proofErr w:type="spellStart"/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example.json</w:t>
            </w:r>
            <w:proofErr w:type="spellEnd"/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DAE57" w14:textId="77777777" w:rsidR="007074B9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Scope,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Scope_Id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Metric_Key</w:t>
            </w:r>
            <w:proofErr w:type="spellEnd"/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00502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00CC" w14:textId="77777777" w:rsidR="007074B9" w:rsidRDefault="00000000">
            <w:r>
              <w:rPr>
                <w:b/>
                <w:bCs/>
                <w:color w:val="FFFFFF"/>
                <w:sz w:val="20"/>
                <w:szCs w:val="20"/>
              </w:rPr>
              <w:t>Resolved label</w:t>
            </w:r>
          </w:p>
        </w:tc>
      </w:tr>
      <w:tr w:rsidR="007074B9" w14:paraId="46213F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79B5A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Workcenter.Calcs.Total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B81D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NULL, Total)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72A5F" w14:textId="77777777" w:rsidR="007074B9" w:rsidRDefault="00000000">
            <w:r>
              <w:rPr>
                <w:sz w:val="20"/>
                <w:szCs w:val="20"/>
              </w:rPr>
              <w:t>Total Tons</w:t>
            </w:r>
          </w:p>
        </w:tc>
      </w:tr>
      <w:tr w:rsidR="007074B9" w14:paraId="4E80A8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3191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Workcenter.Calcs.Rate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360E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NULL, Rate)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A1A1" w14:textId="77777777" w:rsidR="007074B9" w:rsidRDefault="00000000">
            <w:r>
              <w:rPr>
                <w:sz w:val="20"/>
                <w:szCs w:val="20"/>
              </w:rPr>
              <w:t>Average TPH</w:t>
            </w:r>
          </w:p>
        </w:tc>
      </w:tr>
      <w:tr w:rsidR="007074B9" w14:paraId="02F1C4C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8DA6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Workcenter.Calcs.Performance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FF552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NULL, Performance)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005C" w14:textId="77777777" w:rsidR="007074B9" w:rsidRDefault="00000000">
            <w:r>
              <w:rPr>
                <w:sz w:val="20"/>
                <w:szCs w:val="20"/>
              </w:rPr>
              <w:t>Performance</w:t>
            </w:r>
          </w:p>
        </w:tc>
      </w:tr>
      <w:tr w:rsidR="007074B9" w14:paraId="2F0DB40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F95B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Workcenter.Calcs.Availability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BD85A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workcenter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, NULL, Availability)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B953" w14:textId="77777777" w:rsidR="007074B9" w:rsidRDefault="00000000">
            <w:r>
              <w:rPr>
                <w:sz w:val="20"/>
                <w:szCs w:val="20"/>
              </w:rPr>
              <w:t>Runtime %</w:t>
            </w:r>
          </w:p>
        </w:tc>
      </w:tr>
      <w:tr w:rsidR="007074B9" w14:paraId="7F511F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0CC75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Circuit.A.Calcs.Total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82C3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(circuit, NULL, Total)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6002" w14:textId="77777777" w:rsidR="007074B9" w:rsidRDefault="00000000">
            <w:r>
              <w:rPr>
                <w:sz w:val="20"/>
                <w:szCs w:val="20"/>
              </w:rPr>
              <w:t>Circuit Tons</w:t>
            </w:r>
          </w:p>
        </w:tc>
      </w:tr>
      <w:tr w:rsidR="007074B9" w14:paraId="752AB9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CF3A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Circuit.A.Calcs.Rate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C926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 NULL, Rate)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091EC" w14:textId="77777777" w:rsidR="007074B9" w:rsidRDefault="00000000">
            <w:r>
              <w:rPr>
                <w:sz w:val="20"/>
                <w:szCs w:val="20"/>
              </w:rPr>
              <w:t>Circuit TPH</w:t>
            </w:r>
          </w:p>
        </w:tc>
      </w:tr>
      <w:tr w:rsidR="007074B9" w14:paraId="20D865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7F792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Circuit.A.Calcs.Yield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14A6B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, NULL, Yield)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D56D" w14:textId="77777777" w:rsidR="007074B9" w:rsidRDefault="00000000">
            <w:r>
              <w:rPr>
                <w:sz w:val="20"/>
                <w:szCs w:val="20"/>
              </w:rPr>
              <w:t>Circuit Yield</w:t>
            </w:r>
          </w:p>
        </w:tc>
      </w:tr>
      <w:tr w:rsidR="007074B9" w14:paraId="111190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C13B1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Circuit.B.Calcs.Total</w:t>
            </w:r>
            <w:proofErr w:type="spellEnd"/>
            <w:proofErr w:type="gram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2A71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(circuit, B, Total) → falls through to (circuit, NULL, Total)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51349" w14:textId="77777777" w:rsidR="007074B9" w:rsidRDefault="00000000">
            <w:r>
              <w:rPr>
                <w:sz w:val="20"/>
                <w:szCs w:val="20"/>
              </w:rPr>
              <w:t>Circuit Tons (or 'Crusher Throughput' with the override in §5)</w:t>
            </w:r>
          </w:p>
        </w:tc>
      </w:tr>
      <w:tr w:rsidR="007074B9" w14:paraId="220BBF9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EC1A4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Circuit.A.Line.A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.Calcs.Total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7A8C4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(line, A, Total) → (line, NULL, Total)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2282B" w14:textId="77777777" w:rsidR="007074B9" w:rsidRDefault="00000000">
            <w:r>
              <w:rPr>
                <w:sz w:val="20"/>
                <w:szCs w:val="20"/>
              </w:rPr>
              <w:t>Line Tons</w:t>
            </w:r>
          </w:p>
        </w:tc>
      </w:tr>
      <w:tr w:rsidR="007074B9" w14:paraId="0B517B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269D0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Circuit.A.Line.A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.Calcs.Rate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2157F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(line, A, Rate) → (line, NULL, Rate)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872C" w14:textId="77777777" w:rsidR="007074B9" w:rsidRDefault="00000000">
            <w:r>
              <w:rPr>
                <w:sz w:val="20"/>
                <w:szCs w:val="20"/>
              </w:rPr>
              <w:t>Line TPH</w:t>
            </w:r>
          </w:p>
        </w:tc>
      </w:tr>
      <w:tr w:rsidR="007074B9" w14:paraId="67C271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1F0A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Circuit.A.Line.A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.Calcs.Yield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A5D7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(line, A, Yield) → (line, NULL, Yield)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EF77" w14:textId="77777777" w:rsidR="007074B9" w:rsidRDefault="00000000">
            <w:r>
              <w:rPr>
                <w:sz w:val="20"/>
                <w:szCs w:val="20"/>
              </w:rPr>
              <w:t>Line Yield</w:t>
            </w:r>
          </w:p>
        </w:tc>
      </w:tr>
      <w:tr w:rsidR="007074B9" w14:paraId="4058735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DFB50" w14:textId="77777777" w:rsidR="007074B9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Circuit.A.Line.B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.Calcs.Total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EE59B" w14:textId="77777777" w:rsidR="007074B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(line, B, Total) → (line, NULL, Total)</w:t>
            </w:r>
          </w:p>
        </w:tc>
        <w:tc>
          <w:tcPr>
            <w:tcW w:w="1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B5853" w14:textId="77777777" w:rsidR="007074B9" w:rsidRDefault="00000000">
            <w:r>
              <w:rPr>
                <w:sz w:val="20"/>
                <w:szCs w:val="20"/>
              </w:rPr>
              <w:t>Line Tons</w:t>
            </w:r>
          </w:p>
        </w:tc>
      </w:tr>
    </w:tbl>
    <w:p w14:paraId="1C4EC9DF" w14:textId="77777777" w:rsidR="007074B9" w:rsidRDefault="00000000">
      <w:pPr>
        <w:spacing w:after="120"/>
      </w:pPr>
      <w:r>
        <w:t xml:space="preserve">The resolution walks </w:t>
      </w:r>
      <w:proofErr w:type="spellStart"/>
      <w:r>
        <w:rPr>
          <w:b/>
          <w:bCs/>
        </w:rPr>
        <w:t>Scope_Id</w:t>
      </w:r>
      <w:proofErr w:type="spellEnd"/>
      <w:r>
        <w:rPr>
          <w:b/>
          <w:bCs/>
        </w:rPr>
        <w:t>-specific first, then wildcard, then site-level, then global</w:t>
      </w:r>
      <w:r>
        <w:t xml:space="preserve">. </w:t>
      </w:r>
      <w:proofErr w:type="gramStart"/>
      <w:r>
        <w:t>So</w:t>
      </w:r>
      <w:proofErr w:type="gramEnd"/>
      <w:r>
        <w:t xml:space="preserve">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Circuit.B.Calcs.Total</w:t>
      </w:r>
      <w:proofErr w:type="spellEnd"/>
      <w:proofErr w:type="gramEnd"/>
      <w:r>
        <w:t xml:space="preserve"> first looks for an exact </w:t>
      </w:r>
      <w:r>
        <w:rPr>
          <w:rFonts w:ascii="Consolas" w:eastAsia="Consolas" w:hAnsi="Consolas" w:cs="Consolas"/>
          <w:sz w:val="18"/>
          <w:szCs w:val="18"/>
        </w:rPr>
        <w:t>(101, 102, circuit, B, Total)</w:t>
      </w:r>
      <w:r>
        <w:t xml:space="preserve"> row — in this case present (the override), so the chart shows “Crusher Throughput.” Every other circuit’s Total chart falls through to the global wildcard row and shows “Circuit Tons.”</w:t>
      </w:r>
    </w:p>
    <w:p w14:paraId="2805DF19" w14:textId="77777777" w:rsidR="005A4D59" w:rsidRDefault="005A4D59">
      <w:pPr>
        <w:pStyle w:val="Heading1"/>
      </w:pPr>
    </w:p>
    <w:p w14:paraId="064F0938" w14:textId="77777777" w:rsidR="005A4D59" w:rsidRDefault="005A4D59">
      <w:pPr>
        <w:pStyle w:val="Heading1"/>
      </w:pPr>
    </w:p>
    <w:p w14:paraId="15A338FF" w14:textId="6A7F12EC" w:rsidR="007074B9" w:rsidRDefault="00000000">
      <w:pPr>
        <w:pStyle w:val="Heading1"/>
      </w:pPr>
      <w:r>
        <w:lastRenderedPageBreak/>
        <w:t>7. Setup steps</w:t>
      </w:r>
    </w:p>
    <w:p w14:paraId="31CE3EF7" w14:textId="77777777" w:rsidR="007074B9" w:rsidRDefault="00000000">
      <w:pPr>
        <w:pStyle w:val="ListParagraph"/>
        <w:numPr>
          <w:ilvl w:val="0"/>
          <w:numId w:val="3"/>
        </w:numPr>
        <w:spacing w:after="60"/>
      </w:pPr>
      <w:r>
        <w:t xml:space="preserve">Create the table in </w:t>
      </w:r>
      <w:proofErr w:type="spellStart"/>
      <w:r>
        <w:rPr>
          <w:rFonts w:ascii="Consolas" w:eastAsia="Consolas" w:hAnsi="Consolas" w:cs="Consolas"/>
          <w:sz w:val="18"/>
          <w:szCs w:val="18"/>
        </w:rPr>
        <w:t>DailyProductionEntry.dbo.ChartLabels</w:t>
      </w:r>
      <w:proofErr w:type="spellEnd"/>
      <w:r>
        <w:t xml:space="preserve"> using the DDL from §3.</w:t>
      </w:r>
    </w:p>
    <w:p w14:paraId="505269A3" w14:textId="77777777" w:rsidR="007074B9" w:rsidRDefault="00000000">
      <w:pPr>
        <w:pStyle w:val="ListParagraph"/>
        <w:numPr>
          <w:ilvl w:val="0"/>
          <w:numId w:val="3"/>
        </w:numPr>
        <w:spacing w:after="60"/>
      </w:pPr>
      <w:r>
        <w:t xml:space="preserve">Grant </w:t>
      </w:r>
      <w:r>
        <w:rPr>
          <w:rFonts w:ascii="Consolas" w:eastAsia="Consolas" w:hAnsi="Consolas" w:cs="Consolas"/>
          <w:sz w:val="18"/>
          <w:szCs w:val="18"/>
        </w:rPr>
        <w:t>SELECT</w:t>
      </w:r>
      <w:r>
        <w:t xml:space="preserve"> on it to the API’s read-only login (same login that already reads </w:t>
      </w:r>
      <w:r>
        <w:rPr>
          <w:rFonts w:ascii="Consolas" w:eastAsia="Consolas" w:hAnsi="Consolas" w:cs="Consolas"/>
          <w:sz w:val="18"/>
          <w:szCs w:val="18"/>
        </w:rPr>
        <w:t>Departments</w:t>
      </w:r>
      <w:r>
        <w:t>).</w:t>
      </w:r>
    </w:p>
    <w:p w14:paraId="04AB7F3D" w14:textId="77777777" w:rsidR="007074B9" w:rsidRDefault="00000000">
      <w:pPr>
        <w:pStyle w:val="ListParagraph"/>
        <w:numPr>
          <w:ilvl w:val="0"/>
          <w:numId w:val="3"/>
        </w:numPr>
        <w:spacing w:after="60"/>
      </w:pPr>
      <w:r>
        <w:t xml:space="preserve">Seed the table with the eleven global rows from §5. Every chart now has a friendly label; nothing else </w:t>
      </w:r>
      <w:proofErr w:type="gramStart"/>
      <w:r>
        <w:t>has to</w:t>
      </w:r>
      <w:proofErr w:type="gramEnd"/>
      <w:r>
        <w:t xml:space="preserve"> change.</w:t>
      </w:r>
    </w:p>
    <w:p w14:paraId="423D05A7" w14:textId="77777777" w:rsidR="007074B9" w:rsidRDefault="00000000">
      <w:pPr>
        <w:pStyle w:val="ListParagraph"/>
        <w:numPr>
          <w:ilvl w:val="0"/>
          <w:numId w:val="3"/>
        </w:numPr>
        <w:spacing w:after="60"/>
      </w:pPr>
      <w:r>
        <w:t>Add per-site or per-circuit overrides as needed. Most installations won’t need any.</w:t>
      </w:r>
    </w:p>
    <w:p w14:paraId="3A0E9DE0" w14:textId="77777777" w:rsidR="007074B9" w:rsidRDefault="00000000">
      <w:pPr>
        <w:pStyle w:val="ListParagraph"/>
        <w:numPr>
          <w:ilvl w:val="0"/>
          <w:numId w:val="3"/>
        </w:numPr>
        <w:spacing w:after="60"/>
      </w:pPr>
      <w:r>
        <w:t xml:space="preserve">Update the API: extend the production-report query (or a new </w:t>
      </w:r>
      <w:proofErr w:type="spellStart"/>
      <w:r>
        <w:rPr>
          <w:rFonts w:ascii="Consolas" w:eastAsia="Consolas" w:hAnsi="Consolas" w:cs="Consolas"/>
          <w:sz w:val="18"/>
          <w:szCs w:val="18"/>
        </w:rPr>
        <w:t>chart_labels</w:t>
      </w:r>
      <w:proofErr w:type="spellEnd"/>
      <w:r>
        <w:t xml:space="preserve"> query file) to load the table, cache it in memory, and apply </w:t>
      </w:r>
      <w:proofErr w:type="spellStart"/>
      <w:r>
        <w:rPr>
          <w:rFonts w:ascii="Consolas" w:eastAsia="Consolas" w:hAnsi="Consolas" w:cs="Consolas"/>
          <w:sz w:val="18"/>
          <w:szCs w:val="18"/>
        </w:rPr>
        <w:t>resolve_label</w:t>
      </w:r>
      <w:proofErr w:type="spellEnd"/>
      <w:r>
        <w:rPr>
          <w:rFonts w:ascii="Consolas" w:eastAsia="Consolas" w:hAnsi="Consolas" w:cs="Consolas"/>
          <w:sz w:val="18"/>
          <w:szCs w:val="18"/>
        </w:rPr>
        <w:t>(...)</w:t>
      </w:r>
      <w:r>
        <w:t xml:space="preserve"> when building circuit / </w:t>
      </w:r>
      <w:proofErr w:type="spellStart"/>
      <w:r>
        <w:t>workcenter</w:t>
      </w:r>
      <w:proofErr w:type="spellEnd"/>
      <w:r>
        <w:t xml:space="preserve"> chart entries. Charts without a matching row fall through to the metric key, so the rollout is reversible.</w:t>
      </w:r>
    </w:p>
    <w:p w14:paraId="5DCB7BC8" w14:textId="77777777" w:rsidR="007074B9" w:rsidRDefault="00000000">
      <w:pPr>
        <w:pStyle w:val="ListParagraph"/>
        <w:numPr>
          <w:ilvl w:val="0"/>
          <w:numId w:val="3"/>
        </w:numPr>
        <w:spacing w:after="60"/>
      </w:pPr>
      <w:r>
        <w:t xml:space="preserve">Verify on the dashboard: every </w:t>
      </w:r>
      <w:r>
        <w:rPr>
          <w:rFonts w:ascii="Consolas" w:eastAsia="Consolas" w:hAnsi="Consolas" w:cs="Consolas"/>
          <w:sz w:val="18"/>
          <w:szCs w:val="18"/>
        </w:rPr>
        <w:t>Total =</w:t>
      </w:r>
      <w:r>
        <w:t xml:space="preserve">, </w:t>
      </w:r>
      <w:r>
        <w:rPr>
          <w:rFonts w:ascii="Consolas" w:eastAsia="Consolas" w:hAnsi="Consolas" w:cs="Consolas"/>
          <w:sz w:val="18"/>
          <w:szCs w:val="18"/>
        </w:rPr>
        <w:t>Rate =</w:t>
      </w:r>
      <w:r>
        <w:t xml:space="preserve">, and </w:t>
      </w:r>
      <w:r>
        <w:rPr>
          <w:rFonts w:ascii="Consolas" w:eastAsia="Consolas" w:hAnsi="Consolas" w:cs="Consolas"/>
          <w:sz w:val="18"/>
          <w:szCs w:val="18"/>
        </w:rPr>
        <w:t>Yield =</w:t>
      </w:r>
      <w:r>
        <w:t xml:space="preserve"> calcs label should now read with the configured label on the left of the </w:t>
      </w:r>
      <w:r>
        <w:rPr>
          <w:rFonts w:ascii="Consolas" w:eastAsia="Consolas" w:hAnsi="Consolas" w:cs="Consolas"/>
          <w:sz w:val="18"/>
          <w:szCs w:val="18"/>
        </w:rPr>
        <w:t>=</w:t>
      </w:r>
      <w:r>
        <w:t>.</w:t>
      </w:r>
    </w:p>
    <w:p w14:paraId="62588697" w14:textId="77777777" w:rsidR="007074B9" w:rsidRDefault="00000000">
      <w:pPr>
        <w:pBdr>
          <w:top w:val="single" w:sz="6" w:space="6" w:color="999999"/>
        </w:pBdr>
        <w:spacing w:before="280" w:after="60"/>
      </w:pPr>
      <w:r>
        <w:rPr>
          <w:i/>
          <w:iCs/>
          <w:color w:val="555555"/>
          <w:sz w:val="18"/>
          <w:szCs w:val="18"/>
        </w:rPr>
        <w:t>Companion docs: context/sample-data/production-report/payload-schema.md (payload contract), docs/site-setup-guide.docx (new-site setup).</w:t>
      </w:r>
    </w:p>
    <w:sectPr w:rsidR="007074B9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E7ED1" w14:textId="77777777" w:rsidR="00E23EC6" w:rsidRDefault="00E23EC6">
      <w:r>
        <w:separator/>
      </w:r>
    </w:p>
  </w:endnote>
  <w:endnote w:type="continuationSeparator" w:id="0">
    <w:p w14:paraId="7AED890D" w14:textId="77777777" w:rsidR="00E23EC6" w:rsidRDefault="00E23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74645" w14:textId="77777777" w:rsidR="007074B9" w:rsidRDefault="00000000">
    <w:pPr>
      <w:jc w:val="center"/>
    </w:pPr>
    <w:r>
      <w:rPr>
        <w:color w:val="777777"/>
        <w:sz w:val="18"/>
        <w:szCs w:val="18"/>
      </w:rPr>
      <w:t xml:space="preserve">Chart Labels — Method &amp; </w:t>
    </w:r>
    <w:proofErr w:type="gramStart"/>
    <w:r>
      <w:rPr>
        <w:color w:val="777777"/>
        <w:sz w:val="18"/>
        <w:szCs w:val="18"/>
      </w:rPr>
      <w:t>Setup  ·</w:t>
    </w:r>
    <w:proofErr w:type="gramEnd"/>
    <w:r>
      <w:rPr>
        <w:color w:val="777777"/>
        <w:sz w:val="18"/>
        <w:szCs w:val="18"/>
      </w:rPr>
      <w:t xml:space="preserve"> 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3C1D2F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20FBD" w14:textId="77777777" w:rsidR="00E23EC6" w:rsidRDefault="00E23EC6">
      <w:r>
        <w:separator/>
      </w:r>
    </w:p>
  </w:footnote>
  <w:footnote w:type="continuationSeparator" w:id="0">
    <w:p w14:paraId="3AEA24DC" w14:textId="77777777" w:rsidR="00E23EC6" w:rsidRDefault="00E23E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082B"/>
    <w:multiLevelType w:val="hybridMultilevel"/>
    <w:tmpl w:val="1EC855F4"/>
    <w:lvl w:ilvl="0" w:tplc="CB46EFC4">
      <w:start w:val="1"/>
      <w:numFmt w:val="bullet"/>
      <w:lvlText w:val="•"/>
      <w:lvlJc w:val="left"/>
      <w:pPr>
        <w:ind w:left="720" w:hanging="360"/>
      </w:pPr>
    </w:lvl>
    <w:lvl w:ilvl="1" w:tplc="F5C08142">
      <w:numFmt w:val="decimal"/>
      <w:lvlText w:val=""/>
      <w:lvlJc w:val="left"/>
    </w:lvl>
    <w:lvl w:ilvl="2" w:tplc="4C969AEA">
      <w:numFmt w:val="decimal"/>
      <w:lvlText w:val=""/>
      <w:lvlJc w:val="left"/>
    </w:lvl>
    <w:lvl w:ilvl="3" w:tplc="78F49454">
      <w:numFmt w:val="decimal"/>
      <w:lvlText w:val=""/>
      <w:lvlJc w:val="left"/>
    </w:lvl>
    <w:lvl w:ilvl="4" w:tplc="F628E726">
      <w:numFmt w:val="decimal"/>
      <w:lvlText w:val=""/>
      <w:lvlJc w:val="left"/>
    </w:lvl>
    <w:lvl w:ilvl="5" w:tplc="422E34E0">
      <w:numFmt w:val="decimal"/>
      <w:lvlText w:val=""/>
      <w:lvlJc w:val="left"/>
    </w:lvl>
    <w:lvl w:ilvl="6" w:tplc="D4F0B358">
      <w:numFmt w:val="decimal"/>
      <w:lvlText w:val=""/>
      <w:lvlJc w:val="left"/>
    </w:lvl>
    <w:lvl w:ilvl="7" w:tplc="B654631E">
      <w:numFmt w:val="decimal"/>
      <w:lvlText w:val=""/>
      <w:lvlJc w:val="left"/>
    </w:lvl>
    <w:lvl w:ilvl="8" w:tplc="01D838EA">
      <w:numFmt w:val="decimal"/>
      <w:lvlText w:val=""/>
      <w:lvlJc w:val="left"/>
    </w:lvl>
  </w:abstractNum>
  <w:abstractNum w:abstractNumId="1" w15:restartNumberingAfterBreak="0">
    <w:nsid w:val="1FCB53D8"/>
    <w:multiLevelType w:val="hybridMultilevel"/>
    <w:tmpl w:val="B878632A"/>
    <w:lvl w:ilvl="0" w:tplc="99B65F06">
      <w:start w:val="1"/>
      <w:numFmt w:val="decimal"/>
      <w:lvlText w:val="%1."/>
      <w:lvlJc w:val="left"/>
      <w:pPr>
        <w:ind w:left="720" w:hanging="360"/>
      </w:pPr>
    </w:lvl>
    <w:lvl w:ilvl="1" w:tplc="C2D63E8E">
      <w:numFmt w:val="decimal"/>
      <w:lvlText w:val=""/>
      <w:lvlJc w:val="left"/>
    </w:lvl>
    <w:lvl w:ilvl="2" w:tplc="2480A3AC">
      <w:numFmt w:val="decimal"/>
      <w:lvlText w:val=""/>
      <w:lvlJc w:val="left"/>
    </w:lvl>
    <w:lvl w:ilvl="3" w:tplc="73EA6E46">
      <w:numFmt w:val="decimal"/>
      <w:lvlText w:val=""/>
      <w:lvlJc w:val="left"/>
    </w:lvl>
    <w:lvl w:ilvl="4" w:tplc="E17607DE">
      <w:numFmt w:val="decimal"/>
      <w:lvlText w:val=""/>
      <w:lvlJc w:val="left"/>
    </w:lvl>
    <w:lvl w:ilvl="5" w:tplc="42BEFC4A">
      <w:numFmt w:val="decimal"/>
      <w:lvlText w:val=""/>
      <w:lvlJc w:val="left"/>
    </w:lvl>
    <w:lvl w:ilvl="6" w:tplc="441EBDF8">
      <w:numFmt w:val="decimal"/>
      <w:lvlText w:val=""/>
      <w:lvlJc w:val="left"/>
    </w:lvl>
    <w:lvl w:ilvl="7" w:tplc="72E668F8">
      <w:numFmt w:val="decimal"/>
      <w:lvlText w:val=""/>
      <w:lvlJc w:val="left"/>
    </w:lvl>
    <w:lvl w:ilvl="8" w:tplc="4A1A58E6">
      <w:numFmt w:val="decimal"/>
      <w:lvlText w:val=""/>
      <w:lvlJc w:val="left"/>
    </w:lvl>
  </w:abstractNum>
  <w:abstractNum w:abstractNumId="2" w15:restartNumberingAfterBreak="0">
    <w:nsid w:val="3B6976AC"/>
    <w:multiLevelType w:val="hybridMultilevel"/>
    <w:tmpl w:val="7F0201DC"/>
    <w:lvl w:ilvl="0" w:tplc="8ED88E74">
      <w:start w:val="1"/>
      <w:numFmt w:val="bullet"/>
      <w:lvlText w:val="●"/>
      <w:lvlJc w:val="left"/>
      <w:pPr>
        <w:ind w:left="720" w:hanging="360"/>
      </w:pPr>
    </w:lvl>
    <w:lvl w:ilvl="1" w:tplc="795C3716">
      <w:start w:val="1"/>
      <w:numFmt w:val="bullet"/>
      <w:lvlText w:val="○"/>
      <w:lvlJc w:val="left"/>
      <w:pPr>
        <w:ind w:left="1440" w:hanging="360"/>
      </w:pPr>
    </w:lvl>
    <w:lvl w:ilvl="2" w:tplc="C3B47360">
      <w:start w:val="1"/>
      <w:numFmt w:val="bullet"/>
      <w:lvlText w:val="■"/>
      <w:lvlJc w:val="left"/>
      <w:pPr>
        <w:ind w:left="2160" w:hanging="360"/>
      </w:pPr>
    </w:lvl>
    <w:lvl w:ilvl="3" w:tplc="8F5E8A0C">
      <w:start w:val="1"/>
      <w:numFmt w:val="bullet"/>
      <w:lvlText w:val="●"/>
      <w:lvlJc w:val="left"/>
      <w:pPr>
        <w:ind w:left="2880" w:hanging="360"/>
      </w:pPr>
    </w:lvl>
    <w:lvl w:ilvl="4" w:tplc="6144EBFA">
      <w:start w:val="1"/>
      <w:numFmt w:val="bullet"/>
      <w:lvlText w:val="○"/>
      <w:lvlJc w:val="left"/>
      <w:pPr>
        <w:ind w:left="3600" w:hanging="360"/>
      </w:pPr>
    </w:lvl>
    <w:lvl w:ilvl="5" w:tplc="5DD41C62">
      <w:start w:val="1"/>
      <w:numFmt w:val="bullet"/>
      <w:lvlText w:val="■"/>
      <w:lvlJc w:val="left"/>
      <w:pPr>
        <w:ind w:left="4320" w:hanging="360"/>
      </w:pPr>
    </w:lvl>
    <w:lvl w:ilvl="6" w:tplc="3B549268">
      <w:start w:val="1"/>
      <w:numFmt w:val="bullet"/>
      <w:lvlText w:val="●"/>
      <w:lvlJc w:val="left"/>
      <w:pPr>
        <w:ind w:left="5040" w:hanging="360"/>
      </w:pPr>
    </w:lvl>
    <w:lvl w:ilvl="7" w:tplc="1D6AC1F6">
      <w:start w:val="1"/>
      <w:numFmt w:val="bullet"/>
      <w:lvlText w:val="●"/>
      <w:lvlJc w:val="left"/>
      <w:pPr>
        <w:ind w:left="5760" w:hanging="360"/>
      </w:pPr>
    </w:lvl>
    <w:lvl w:ilvl="8" w:tplc="6D9A3A94">
      <w:start w:val="1"/>
      <w:numFmt w:val="bullet"/>
      <w:lvlText w:val="●"/>
      <w:lvlJc w:val="left"/>
      <w:pPr>
        <w:ind w:left="6480" w:hanging="360"/>
      </w:pPr>
    </w:lvl>
  </w:abstractNum>
  <w:num w:numId="1" w16cid:durableId="1308897152">
    <w:abstractNumId w:val="2"/>
    <w:lvlOverride w:ilvl="0">
      <w:startOverride w:val="1"/>
    </w:lvlOverride>
  </w:num>
  <w:num w:numId="2" w16cid:durableId="274949483">
    <w:abstractNumId w:val="0"/>
    <w:lvlOverride w:ilvl="0">
      <w:startOverride w:val="1"/>
    </w:lvlOverride>
  </w:num>
  <w:num w:numId="3" w16cid:durableId="15877661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4B9"/>
    <w:rsid w:val="003C1D2F"/>
    <w:rsid w:val="005A4D59"/>
    <w:rsid w:val="007074B9"/>
    <w:rsid w:val="00A555AD"/>
    <w:rsid w:val="00B053CD"/>
    <w:rsid w:val="00E23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CF5A8"/>
  <w15:docId w15:val="{410B889A-E876-4899-BB4C-381C7325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color w:val="00502F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180" w:after="80"/>
      <w:outlineLvl w:val="1"/>
    </w:pPr>
    <w:rPr>
      <w:b/>
      <w:bCs/>
      <w:color w:val="333333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1110</Words>
  <Characters>6527</Characters>
  <Application>Microsoft Office Word</Application>
  <DocSecurity>0</DocSecurity>
  <Lines>233</Lines>
  <Paragraphs>206</Paragraphs>
  <ScaleCrop>false</ScaleCrop>
  <Company>Dolese Bros. Co.</Company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Chart Labels — Method &amp; Setup</dc:title>
  <dc:creator>Production Metrics Dashboard</dc:creator>
  <cp:lastModifiedBy>Trey O'Nan</cp:lastModifiedBy>
  <cp:revision>4</cp:revision>
  <dcterms:created xsi:type="dcterms:W3CDTF">2026-05-13T13:27:00Z</dcterms:created>
  <dcterms:modified xsi:type="dcterms:W3CDTF">2026-05-13T13:33:00Z</dcterms:modified>
</cp:coreProperties>
</file>