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Production Metrics Dashboard</w:t>
      </w:r>
    </w:p>
    <w:p>
      <w:pPr>
        <w:spacing w:after="20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Custom Chart Labels — Method &amp; Setup</w:t>
      </w:r>
    </w:p>
    <w:p>
      <w:pPr>
        <w:spacing w:after="120"/>
      </w:pPr>
      <w:r>
        <w:rPr>
          <w:rFonts w:ascii="Arial" w:cs="Arial" w:eastAsia="Arial" w:hAnsi="Arial"/>
          <w:i/>
          <w:iCs/>
        </w:rPr>
        <w:t xml:space="preserve">How the dashboard turns a payload metric key (</w:t>
      </w:r>
      <w:r>
        <w:rPr>
          <w:rFonts w:ascii="Consolas" w:cs="Consolas" w:eastAsia="Consolas" w:hAnsi="Consolas"/>
          <w:sz w:val="18"/>
          <w:szCs w:val="18"/>
        </w:rPr>
        <w:t xml:space="preserve">Total</w:t>
      </w:r>
      <w:r>
        <w:rPr>
          <w:rFonts w:ascii="Arial" w:cs="Arial" w:eastAsia="Arial" w:hAnsi="Arial"/>
          <w:i/>
          <w:iCs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Rate</w:t>
      </w:r>
      <w:r>
        <w:rPr>
          <w:rFonts w:ascii="Arial" w:cs="Arial" w:eastAsia="Arial" w:hAnsi="Arial"/>
          <w:i/>
          <w:iCs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Yield</w:t>
      </w:r>
      <w:r>
        <w:rPr>
          <w:rFonts w:ascii="Arial" w:cs="Arial" w:eastAsia="Arial" w:hAnsi="Arial"/>
          <w:i/>
          <w:iCs/>
        </w:rPr>
        <w:t xml:space="preserve">, …) into a display label (</w:t>
      </w:r>
      <w:r>
        <w:rPr>
          <w:rFonts w:ascii="Consolas" w:cs="Consolas" w:eastAsia="Consolas" w:hAnsi="Consolas"/>
          <w:sz w:val="18"/>
          <w:szCs w:val="18"/>
        </w:rPr>
        <w:t xml:space="preserve">Total Tons</w:t>
      </w:r>
      <w:r>
        <w:rPr>
          <w:rFonts w:ascii="Arial" w:cs="Arial" w:eastAsia="Arial" w:hAnsi="Arial"/>
          <w:i/>
          <w:iCs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Average TPH</w:t>
      </w:r>
      <w:r>
        <w:rPr>
          <w:rFonts w:ascii="Arial" w:cs="Arial" w:eastAsia="Arial" w:hAnsi="Arial"/>
          <w:i/>
          <w:iCs/>
        </w:rPr>
        <w:t xml:space="preserve">, …) without changing the production-report payload contract. Uses the existing label tables in </w:t>
      </w:r>
      <w:r>
        <w:rPr>
          <w:rFonts w:ascii="Consolas" w:cs="Consolas" w:eastAsia="Consolas" w:hAnsi="Consolas"/>
          <w:sz w:val="18"/>
          <w:szCs w:val="18"/>
        </w:rPr>
        <w:t xml:space="preserve">IA_ENTERPRISE.MES</w:t>
      </w:r>
      <w:r>
        <w:rPr>
          <w:rFonts w:ascii="Arial" w:cs="Arial" w:eastAsia="Arial" w:hAnsi="Arial"/>
          <w:i/>
          <w:iCs/>
        </w:rPr>
        <w:t xml:space="preserve"> that already drive the legacy flat-report consumer.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1. Approach</w:t>
      </w:r>
    </w:p>
    <w:p>
      <w:pPr>
        <w:spacing w:after="120"/>
      </w:pPr>
      <w:r>
        <w:rPr>
          <w:rFonts w:ascii="Arial" w:cs="Arial" w:eastAsia="Arial" w:hAnsi="Arial"/>
        </w:rPr>
        <w:t xml:space="preserve">Labels are presentation, not data. The dashboard already exposes the metric key as the chart title (</w:t>
      </w:r>
      <w:r>
        <w:rPr>
          <w:rFonts w:ascii="Consolas" w:cs="Consolas" w:eastAsia="Consolas" w:hAnsi="Consolas"/>
          <w:sz w:val="18"/>
          <w:szCs w:val="18"/>
        </w:rPr>
        <w:t xml:space="preserve">Total = C1+C8-C7</w:t>
      </w:r>
      <w:r>
        <w:rPr>
          <w:rFonts w:ascii="Arial" w:cs="Arial" w:eastAsia="Arial" w:hAnsi="Arial"/>
        </w:rPr>
        <w:t xml:space="preserve">). The payload’s </w:t>
      </w:r>
      <w:r>
        <w:rPr>
          <w:rFonts w:ascii="Consolas" w:cs="Consolas" w:eastAsia="Consolas" w:hAnsi="Consolas"/>
          <w:sz w:val="18"/>
          <w:szCs w:val="18"/>
        </w:rPr>
        <w:t xml:space="preserve">Calcs</w:t>
      </w:r>
      <w:r>
        <w:rPr>
          <w:rFonts w:ascii="Arial" w:cs="Arial" w:eastAsia="Arial" w:hAnsi="Arial"/>
        </w:rPr>
        <w:t xml:space="preserve"> entries are the audit trail — they record the formula used for </w:t>
      </w:r>
      <w:r>
        <w:rPr>
          <w:rFonts w:ascii="Arial" w:cs="Arial" w:eastAsia="Arial" w:hAnsi="Arial"/>
          <w:b/>
          <w:bCs/>
        </w:rPr>
        <w:t xml:space="preserve">that report’s window</w:t>
      </w:r>
      <w:r>
        <w:rPr>
          <w:rFonts w:ascii="Arial" w:cs="Arial" w:eastAsia="Arial" w:hAnsi="Arial"/>
        </w:rPr>
        <w:t xml:space="preserve"> and shouldn’t change retroactively. A label is the opposite: renaming </w:t>
      </w:r>
      <w:r>
        <w:rPr>
          <w:rFonts w:ascii="Consolas" w:cs="Consolas" w:eastAsia="Consolas" w:hAnsi="Consolas"/>
          <w:sz w:val="18"/>
          <w:szCs w:val="18"/>
        </w:rPr>
        <w:t xml:space="preserve">Total</w:t>
      </w:r>
      <w:r>
        <w:rPr>
          <w:rFonts w:ascii="Arial" w:cs="Arial" w:eastAsia="Arial" w:hAnsi="Arial"/>
        </w:rPr>
        <w:t xml:space="preserve"> to </w:t>
      </w:r>
      <w:r>
        <w:rPr>
          <w:rFonts w:ascii="Consolas" w:cs="Consolas" w:eastAsia="Consolas" w:hAnsi="Consolas"/>
          <w:sz w:val="18"/>
          <w:szCs w:val="18"/>
        </w:rPr>
        <w:t xml:space="preserve">Net Tonnage</w:t>
      </w:r>
      <w:r>
        <w:rPr>
          <w:rFonts w:ascii="Arial" w:cs="Arial" w:eastAsia="Arial" w:hAnsi="Arial"/>
        </w:rPr>
        <w:t xml:space="preserve"> should flip every chart immediately. Putting labels in the payload bakes them into history; putting them in a lookup makes the change one-edit-many-affect.</w:t>
      </w:r>
    </w:p>
    <w:p>
      <w:pPr>
        <w:spacing w:after="120"/>
      </w:pPr>
      <w:r>
        <w:rPr>
          <w:rFonts w:ascii="Arial" w:cs="Arial" w:eastAsia="Arial" w:hAnsi="Arial"/>
        </w:rPr>
        <w:t xml:space="preserve">Three existing tables under </w:t>
      </w:r>
      <w:r>
        <w:rPr>
          <w:rFonts w:ascii="Consolas" w:cs="Consolas" w:eastAsia="Consolas" w:hAnsi="Consolas"/>
          <w:sz w:val="18"/>
          <w:szCs w:val="18"/>
        </w:rPr>
        <w:t xml:space="preserve">IA_ENTERPRISE.MES</w:t>
      </w:r>
      <w:r>
        <w:rPr>
          <w:rFonts w:ascii="Arial" w:cs="Arial" w:eastAsia="Arial" w:hAnsi="Arial"/>
        </w:rPr>
        <w:t xml:space="preserve"> already model exactly this. Rather than introduce a parallel </w:t>
      </w:r>
      <w:r>
        <w:rPr>
          <w:rFonts w:ascii="Consolas" w:cs="Consolas" w:eastAsia="Consolas" w:hAnsi="Consolas"/>
          <w:sz w:val="18"/>
          <w:szCs w:val="18"/>
        </w:rPr>
        <w:t xml:space="preserve">ChartLabels</w:t>
      </w:r>
      <w:r>
        <w:rPr>
          <w:rFonts w:ascii="Arial" w:cs="Arial" w:eastAsia="Arial" w:hAnsi="Arial"/>
        </w:rPr>
        <w:t xml:space="preserve"> table, the dashboard reads the same tables that the legacy </w:t>
      </w:r>
      <w:r>
        <w:rPr>
          <w:rFonts w:ascii="Consolas" w:cs="Consolas" w:eastAsia="Consolas" w:hAnsi="Consolas"/>
          <w:sz w:val="18"/>
          <w:szCs w:val="18"/>
        </w:rPr>
        <w:t xml:space="preserve">[UNS].[GET_CONFIGURED_RUN_REPORT]</w:t>
      </w:r>
      <w:r>
        <w:rPr>
          <w:rFonts w:ascii="Arial" w:cs="Arial" w:eastAsia="Arial" w:hAnsi="Arial"/>
        </w:rPr>
        <w:t xml:space="preserve"> SP uses, applies its own resolution logic in Python, and never touches that SP.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2. The three label tables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4960"/>
      </w:tblGrid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MES.RUN_REPORTS_CONFIG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Per-(site, dept) label rows. Each row pins one chart title for one (CLASS, ASSET, COLUMN) combination.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MES.REPORT_COLUMN_CONFIG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Metric-key dictionary. Includes Total, Rate, Yield, Performance, Availability, Description, Setpoint, and a handful of dotted paths like 'Calcs.Total' used by the legacy SP.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MES.REPORT_ASSET_CLASSES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enum: Site, Workcenter, Conveyor, Crusher, Circuit, Circuit_Line_A, Circuit_Line_B, Circuit_Line_C.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The five-column join (site, dept, class, asset, column_name) is the lookup key. </w:t>
      </w:r>
      <w:r>
        <w:rPr>
          <w:rFonts w:ascii="Consolas" w:cs="Consolas" w:eastAsia="Consolas" w:hAnsi="Consolas"/>
          <w:sz w:val="18"/>
          <w:szCs w:val="18"/>
        </w:rPr>
        <w:t xml:space="preserve">CHART_LABEL</w:t>
      </w:r>
      <w:r>
        <w:rPr>
          <w:rFonts w:ascii="Arial" w:cs="Arial" w:eastAsia="Arial" w:hAnsi="Arial"/>
        </w:rPr>
        <w:t xml:space="preserve"> on </w:t>
      </w:r>
      <w:r>
        <w:rPr>
          <w:rFonts w:ascii="Consolas" w:cs="Consolas" w:eastAsia="Consolas" w:hAnsi="Consolas"/>
          <w:sz w:val="18"/>
          <w:szCs w:val="18"/>
        </w:rPr>
        <w:t xml:space="preserve">MES.RUN_REPORTS_CONFIG</w:t>
      </w:r>
      <w:r>
        <w:rPr>
          <w:rFonts w:ascii="Arial" w:cs="Arial" w:eastAsia="Arial" w:hAnsi="Arial"/>
        </w:rPr>
        <w:t xml:space="preserve"> is the label the dashboard reads; </w:t>
      </w:r>
      <w:r>
        <w:rPr>
          <w:rFonts w:ascii="Consolas" w:cs="Consolas" w:eastAsia="Consolas" w:hAnsi="Consolas"/>
          <w:sz w:val="18"/>
          <w:szCs w:val="18"/>
        </w:rPr>
        <w:t xml:space="preserve">DISPLAY_NAME</w:t>
      </w:r>
      <w:r>
        <w:rPr>
          <w:rFonts w:ascii="Arial" w:cs="Arial" w:eastAsia="Arial" w:hAnsi="Arial"/>
        </w:rPr>
        <w:t xml:space="preserve"> stays reserved for the legacy SP’s tabular column headers. See §4.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3. Scope mapping</w:t>
      </w:r>
    </w:p>
    <w:p>
      <w:pPr>
        <w:spacing w:after="120"/>
      </w:pPr>
      <w:r>
        <w:rPr>
          <w:rFonts w:ascii="Arial" w:cs="Arial" w:eastAsia="Arial" w:hAnsi="Arial"/>
        </w:rPr>
        <w:t xml:space="preserve">The </w:t>
      </w:r>
      <w:r>
        <w:rPr>
          <w:rFonts w:ascii="Consolas" w:cs="Consolas" w:eastAsia="Consolas" w:hAnsi="Consolas"/>
          <w:sz w:val="18"/>
          <w:szCs w:val="18"/>
        </w:rPr>
        <w:t xml:space="preserve">Calcs</w:t>
      </w:r>
      <w:r>
        <w:rPr>
          <w:rFonts w:ascii="Arial" w:cs="Arial" w:eastAsia="Arial" w:hAnsi="Arial"/>
        </w:rPr>
        <w:t xml:space="preserve"> JSON path in the production-report payload decomposes into the lookup key exactly the way the legacy SP composes its </w:t>
      </w:r>
      <w:r>
        <w:rPr>
          <w:rFonts w:ascii="Consolas" w:cs="Consolas" w:eastAsia="Consolas" w:hAnsi="Consolas"/>
          <w:sz w:val="18"/>
          <w:szCs w:val="18"/>
        </w:rPr>
        <w:t xml:space="preserve">JSON_VALUE</w:t>
      </w:r>
      <w:r>
        <w:rPr>
          <w:rFonts w:ascii="Arial" w:cs="Arial" w:eastAsia="Arial" w:hAnsi="Arial"/>
        </w:rPr>
        <w:t xml:space="preserve"> path — but in reverse: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460"/>
      </w:tblGrid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 path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Workcenter.Calcs.&lt;m&gt;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Workcenter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Workcenter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Circuit.&lt;cid&gt;.Calcs.&lt;m&gt;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&lt;cid&gt;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Circuit.&lt;cid&gt;.Line.A.Calcs.&lt;m&gt;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Circuit_Line_A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&lt;cid&gt;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Circuit.&lt;cid&gt;.Line.B.Calcs.&lt;m&gt;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Circuit_Line_B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&lt;cid&gt;</w:t>
            </w:r>
          </w:p>
        </w:tc>
      </w:tr>
      <w:tr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Circuit.&lt;cid&gt;.Line.C.Calcs.&lt;m&gt;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Circuit_Line_C</w:t>
            </w:r>
          </w:p>
        </w:tc>
        <w:tc>
          <w:tcPr>
            <w:tcW w:type="dxa" w:w="2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&lt;cid&gt;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Note: line position is encoded in CLASS (one row per letter), not ASSET. ASSET carries the parent circuit_id. This is how the legacy SP models it; the dashboard mirrors the same convention.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4. CHART_LABEL vs DISPLAY_NAME</w:t>
      </w:r>
    </w:p>
    <w:p>
      <w:pPr>
        <w:spacing w:after="120"/>
      </w:pPr>
      <w:r>
        <w:rPr>
          <w:rFonts w:ascii="Arial" w:cs="Arial" w:eastAsia="Arial" w:hAnsi="Arial"/>
        </w:rPr>
        <w:t xml:space="preserve">Two columns on </w:t>
      </w:r>
      <w:r>
        <w:rPr>
          <w:rFonts w:ascii="Consolas" w:cs="Consolas" w:eastAsia="Consolas" w:hAnsi="Consolas"/>
          <w:sz w:val="18"/>
          <w:szCs w:val="18"/>
        </w:rPr>
        <w:t xml:space="preserve">RUN_REPORTS_CONFIG</w:t>
      </w:r>
      <w:r>
        <w:rPr>
          <w:rFonts w:ascii="Arial" w:cs="Arial" w:eastAsia="Arial" w:hAnsi="Arial"/>
        </w:rPr>
        <w:t xml:space="preserve"> carry label text: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CHART_LABEL</w:t>
      </w:r>
      <w:r>
        <w:rPr>
          <w:rFonts w:ascii="Arial" w:cs="Arial" w:eastAsia="Arial" w:hAnsi="Arial"/>
        </w:rPr>
        <w:t xml:space="preserve"> — read by the dashboard for chart titles. Values can be any text; duplicates allowed. The only uniqueness guarantee is on the row-key tuple (</w:t>
      </w:r>
      <w:r>
        <w:rPr>
          <w:rFonts w:ascii="Consolas" w:cs="Consolas" w:eastAsia="Consolas" w:hAnsi="Consolas"/>
          <w:sz w:val="18"/>
          <w:szCs w:val="18"/>
        </w:rPr>
        <w:t xml:space="preserve">SITE_ID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DEPARTMENT_ID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CLASS_ID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ASSET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COLUMN_CONFIG_ID</w:t>
      </w:r>
      <w:r>
        <w:rPr>
          <w:rFonts w:ascii="Arial" w:cs="Arial" w:eastAsia="Arial" w:hAnsi="Arial"/>
        </w:rPr>
        <w:t xml:space="preserve">), so a lookup with those five values returns at most one row — regardless of what </w:t>
      </w:r>
      <w:r>
        <w:rPr>
          <w:rFonts w:ascii="Consolas" w:cs="Consolas" w:eastAsia="Consolas" w:hAnsi="Consolas"/>
          <w:sz w:val="18"/>
          <w:szCs w:val="18"/>
        </w:rPr>
        <w:t xml:space="preserve">CHART_LABEL</w:t>
      </w:r>
      <w:r>
        <w:rPr>
          <w:rFonts w:ascii="Arial" w:cs="Arial" w:eastAsia="Arial" w:hAnsi="Arial"/>
        </w:rPr>
        <w:t xml:space="preserve"> says.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DISPLAY_NAME</w:t>
      </w:r>
      <w:r>
        <w:rPr>
          <w:rFonts w:ascii="Arial" w:cs="Arial" w:eastAsia="Arial" w:hAnsi="Arial"/>
        </w:rPr>
        <w:t xml:space="preserve"> — read by the legacy </w:t>
      </w:r>
      <w:r>
        <w:rPr>
          <w:rFonts w:ascii="Consolas" w:cs="Consolas" w:eastAsia="Consolas" w:hAnsi="Consolas"/>
          <w:sz w:val="18"/>
          <w:szCs w:val="18"/>
        </w:rPr>
        <w:t xml:space="preserve">[UNS].[GET_CONFIGURED_RUN_REPORT]</w:t>
      </w:r>
      <w:r>
        <w:rPr>
          <w:rFonts w:ascii="Arial" w:cs="Arial" w:eastAsia="Arial" w:hAnsi="Arial"/>
        </w:rPr>
        <w:t xml:space="preserve"> SP for tabular column headers. Has a stricter unique constraint on (</w:t>
      </w:r>
      <w:r>
        <w:rPr>
          <w:rFonts w:ascii="Consolas" w:cs="Consolas" w:eastAsia="Consolas" w:hAnsi="Consolas"/>
          <w:sz w:val="18"/>
          <w:szCs w:val="18"/>
        </w:rPr>
        <w:t xml:space="preserve">SITE_ID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DEPARTMENT_ID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DISPLAY_NAME</w:t>
      </w:r>
      <w:r>
        <w:rPr>
          <w:rFonts w:ascii="Arial" w:cs="Arial" w:eastAsia="Arial" w:hAnsi="Arial"/>
        </w:rPr>
        <w:t xml:space="preserve">) because duplicate column names in a flat report would emit invalid SQL.</w:t>
      </w:r>
    </w:p>
    <w:p>
      <w:pPr>
        <w:spacing w:after="120"/>
      </w:pPr>
      <w:r>
        <w:rPr>
          <w:rFonts w:ascii="Arial" w:cs="Arial" w:eastAsia="Arial" w:hAnsi="Arial"/>
        </w:rPr>
        <w:t xml:space="preserve">Splitting the two columns lets each consumer evolve its labels independently. New rows must set both; most of the time you’ll type the same string into each.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DDL (one-time, DBA-side)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ALTER TABLE [IA_ENTERPRISE].[MES].[RUN_REPORTS_CONFIG]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 CHART_LABEL NVARCHAR(128) NULL;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GO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-- Seed it so existing rows render the same chart titles on day 1.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UPDATE [IA_ENTERPRISE].[MES].[RUN_REPORTS_CONFIG]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SET CHART_LABEL = DISPLAY_NAME;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ALTER TABLE [IA_ENTERPRISE].[MES].[RUN_REPORTS_CONFIG]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ALTER COLUMN CHART_LABEL NVARCHAR(128) NOT NULL;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GO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-- Lookup-determinism guard: exactly one row per chart-scope-metric.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-- (DISPLAY_NAME's existing uniqueness constraint stays as-is.)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ALTER TABLE [IA_ENTERPRISE].[MES].[RUN_REPORTS_CONFIG]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 CONSTRAINT UQ_RUN_REPORTS_CONFIG_ROW_KEY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UNIQUE (SITE_ID, DEPARTMENT_ID, CLASS_ID, ASSET, COLUMN_CONFIG_ID);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5. Resolution &amp; the (0, 0) global sentinel</w:t>
      </w:r>
    </w:p>
    <w:p>
      <w:pPr>
        <w:spacing w:after="120"/>
      </w:pPr>
      <w:r>
        <w:rPr>
          <w:rFonts w:ascii="Arial" w:cs="Arial" w:eastAsia="Arial" w:hAnsi="Arial"/>
        </w:rPr>
        <w:t xml:space="preserve">Lookups are most-specific to least-specific. The </w:t>
      </w:r>
      <w:r>
        <w:rPr>
          <w:rFonts w:ascii="Arial" w:cs="Arial" w:eastAsia="Arial" w:hAnsi="Arial"/>
          <w:b/>
          <w:bCs/>
        </w:rPr>
        <w:t xml:space="preserve">(0, 0) sentinel</w:t>
      </w:r>
      <w:r>
        <w:rPr>
          <w:rFonts w:ascii="Arial" w:cs="Arial" w:eastAsia="Arial" w:hAnsi="Arial"/>
        </w:rPr>
        <w:t xml:space="preserve"> is reserved in </w:t>
      </w:r>
      <w:r>
        <w:rPr>
          <w:rFonts w:ascii="Consolas" w:cs="Consolas" w:eastAsia="Consolas" w:hAnsi="Consolas"/>
          <w:sz w:val="18"/>
          <w:szCs w:val="18"/>
        </w:rPr>
        <w:t xml:space="preserve">MES.RUN_REPORTS_CONFIG</w:t>
      </w:r>
      <w:r>
        <w:rPr>
          <w:rFonts w:ascii="Arial" w:cs="Arial" w:eastAsia="Arial" w:hAnsi="Arial"/>
        </w:rPr>
        <w:t xml:space="preserve"> to mean “applies to every (site, dept) that doesn’t have a specific row.” The final fallback is the raw metric key, so charts always render — even before any rows are inserted.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Resolution order: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1.  (site_id, department_id, class, asset, column_name)   -- specific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2.  (0,       0,             class, asset, column_name)   -- global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3.  column_name                                             -- raw metric key</w:t>
      </w:r>
    </w:p>
    <w:p>
      <w:pPr>
        <w:spacing w:after="120"/>
      </w:pPr>
      <w:r>
        <w:rPr>
          <w:rFonts w:ascii="Arial" w:cs="Arial" w:eastAsia="Arial" w:hAnsi="Arial"/>
        </w:rPr>
        <w:t xml:space="preserve">Provisioning constraint: never assign a real site or department the ID </w:t>
      </w:r>
      <w:r>
        <w:rPr>
          <w:rFonts w:ascii="Consolas" w:cs="Consolas" w:eastAsia="Consolas" w:hAnsi="Consolas"/>
          <w:sz w:val="18"/>
          <w:szCs w:val="18"/>
        </w:rPr>
        <w:t xml:space="preserve">0</w:t>
      </w:r>
      <w:r>
        <w:rPr>
          <w:rFonts w:ascii="Arial" w:cs="Arial" w:eastAsia="Arial" w:hAnsi="Arial"/>
        </w:rPr>
        <w:t xml:space="preserve">. The chart-label resolver treats </w:t>
      </w:r>
      <w:r>
        <w:rPr>
          <w:rFonts w:ascii="Consolas" w:cs="Consolas" w:eastAsia="Consolas" w:hAnsi="Consolas"/>
          <w:sz w:val="18"/>
          <w:szCs w:val="18"/>
        </w:rPr>
        <w:t xml:space="preserve">(0, 0)</w:t>
      </w:r>
      <w:r>
        <w:rPr>
          <w:rFonts w:ascii="Arial" w:cs="Arial" w:eastAsia="Arial" w:hAnsi="Arial"/>
        </w:rPr>
        <w:t xml:space="preserve"> rows as wildcards; if a real site ever uses that id, its specific rows would shadow the globals (and vice versa).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6. Files created in this codebase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00"/>
        <w:gridCol w:w="3260"/>
      </w:tblGrid>
      <w:tr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3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backend/app/integrations/production_report/queries/select_chart_labels.sql</w:t>
            </w:r>
          </w:p>
        </w:tc>
        <w:tc>
          <w:tcPr>
            <w:tcW w:type="dxa" w:w="3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Parameterless SELECT that joins the three MES tables and returns every active label row.</w:t>
            </w:r>
          </w:p>
        </w:tc>
      </w:tr>
      <w:tr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backend/app/integrations/production_report/labels.py</w:t>
            </w:r>
          </w:p>
        </w:tc>
        <w:tc>
          <w:tcPr>
            <w:tcW w:type="dxa" w:w="3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ChartLabels snapshot + SqlChartLabelSource that loads &amp; caches, plus path-to-key helpers (workcenter_key, circuit_key, line_key).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The query is parameterless on purpose: the API loads every active row once at startup, caches the result in-process, and refreshes on a fixed TTL (</w:t>
      </w:r>
      <w:r>
        <w:rPr>
          <w:rFonts w:ascii="Consolas" w:cs="Consolas" w:eastAsia="Consolas" w:hAnsi="Consolas"/>
          <w:sz w:val="18"/>
          <w:szCs w:val="18"/>
        </w:rPr>
        <w:t xml:space="preserve">LABEL_CACHE_TTL_SECONDS = 300</w:t>
      </w:r>
      <w:r>
        <w:rPr>
          <w:rFonts w:ascii="Arial" w:cs="Arial" w:eastAsia="Arial" w:hAnsi="Arial"/>
        </w:rPr>
        <w:t xml:space="preserve">). Per-chart resolution is a pure dict lookup; no SQL round trip per request.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7. SQL grants &amp; connectivity</w:t>
      </w:r>
    </w:p>
    <w:p>
      <w:pPr>
        <w:spacing w:after="120"/>
      </w:pPr>
      <w:r>
        <w:rPr>
          <w:rFonts w:ascii="Arial" w:cs="Arial" w:eastAsia="Arial" w:hAnsi="Arial"/>
        </w:rPr>
        <w:t xml:space="preserve">The API’s read-only login needs </w:t>
      </w:r>
      <w:r>
        <w:rPr>
          <w:rFonts w:ascii="Consolas" w:cs="Consolas" w:eastAsia="Consolas" w:hAnsi="Consolas"/>
          <w:sz w:val="18"/>
          <w:szCs w:val="18"/>
        </w:rPr>
        <w:t xml:space="preserve">SELECT</w:t>
      </w:r>
      <w:r>
        <w:rPr>
          <w:rFonts w:ascii="Arial" w:cs="Arial" w:eastAsia="Arial" w:hAnsi="Arial"/>
        </w:rPr>
        <w:t xml:space="preserve"> on the three tables below. Same database (</w:t>
      </w:r>
      <w:r>
        <w:rPr>
          <w:rFonts w:ascii="Consolas" w:cs="Consolas" w:eastAsia="Consolas" w:hAnsi="Consolas"/>
          <w:sz w:val="18"/>
          <w:szCs w:val="18"/>
        </w:rPr>
        <w:t xml:space="preserve">IA_ENTERPRISE</w:t>
      </w:r>
      <w:r>
        <w:rPr>
          <w:rFonts w:ascii="Arial" w:cs="Arial" w:eastAsia="Arial" w:hAnsi="Arial"/>
        </w:rPr>
        <w:t xml:space="preserve">) as the production-report dataset, so no new connection or driver changes.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[IA_ENTERPRISE].[MES].[RUN_REPORTS_CONFIG]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[IA_ENTERPRISE].[MES].[REPORT_COLUMN_CONFIG]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[IA_ENTERPRISE].[MES].[REPORT_ASSET_CLASSES]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8. The query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SELECT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cfg.[SITE_ID]       AS site_id,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cfg.[DEPARTMENT_ID] AS department_id,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ac.[CLASS]          AS class,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cfg.[ASSET]         AS asset,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rc.[COLUMN_NAME]    AS column_name,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cfg.[CHART_LABEL]   AS display_name,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cfg.[DISPLAY_ORDER] AS display_order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      [IA_ENTERPRISE].[MES].[RUN_REPORTS_CONFIG]   cfg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INNER JOIN [IA_ENTERPRISE].[MES].[REPORT_COLUMN_CONFIG] rc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ON rc.[ID] = cfg.[COLUMN_CONFIG_ID]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INNER JOIN [IA_ENTERPRISE].[MES].[REPORT_ASSET_CLASSES] ac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ON ac.[ID] = cfg.[CLASS_ID]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WHERE cfg.[ACTIVE]  = 1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AND cfg.[RETIRED] = 0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ORDER BY cfg.[SITE_ID], cfg.[DEPARTMENT_ID], cfg.[DISPLAY_ORDER];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9. Mapping to payload-example.json</w:t>
      </w:r>
    </w:p>
    <w:p>
      <w:pPr>
        <w:spacing w:after="120"/>
      </w:pPr>
      <w:r>
        <w:rPr>
          <w:rFonts w:ascii="Arial" w:cs="Arial" w:eastAsia="Arial" w:hAnsi="Arial"/>
        </w:rPr>
        <w:t xml:space="preserve">Walking every </w:t>
      </w:r>
      <w:r>
        <w:rPr>
          <w:rFonts w:ascii="Consolas" w:cs="Consolas" w:eastAsia="Consolas" w:hAnsi="Consolas"/>
          <w:sz w:val="18"/>
          <w:szCs w:val="18"/>
        </w:rPr>
        <w:t xml:space="preserve">Calcs</w:t>
      </w:r>
      <w:r>
        <w:rPr>
          <w:rFonts w:ascii="Arial" w:cs="Arial" w:eastAsia="Arial" w:hAnsi="Arial"/>
        </w:rPr>
        <w:t xml:space="preserve"> entry in the current sample payload (Big Canyon, site 101, dept 127). Resolved labels read </w:t>
      </w:r>
      <w:r>
        <w:rPr>
          <w:rFonts w:ascii="Consolas" w:cs="Consolas" w:eastAsia="Consolas" w:hAnsi="Consolas"/>
          <w:sz w:val="18"/>
          <w:szCs w:val="18"/>
        </w:rPr>
        <w:t xml:space="preserve">CHART_LABEL</w:t>
      </w:r>
      <w:r>
        <w:rPr>
          <w:rFonts w:ascii="Arial" w:cs="Arial" w:eastAsia="Arial" w:hAnsi="Arial"/>
        </w:rPr>
        <w:t xml:space="preserve"> from the rows already present in </w:t>
      </w:r>
      <w:r>
        <w:rPr>
          <w:rFonts w:ascii="Consolas" w:cs="Consolas" w:eastAsia="Consolas" w:hAnsi="Consolas"/>
          <w:sz w:val="18"/>
          <w:szCs w:val="18"/>
        </w:rPr>
        <w:t xml:space="preserve">RUN_REPORTS_CONFIG</w:t>
      </w:r>
      <w:r>
        <w:rPr>
          <w:rFonts w:ascii="Arial" w:cs="Arial" w:eastAsia="Arial" w:hAnsi="Arial"/>
        </w:rPr>
        <w:t xml:space="preserve"> for that (site, dept).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760"/>
        <w:gridCol w:w="1700"/>
      </w:tblGrid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 path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Lookup key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0050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Resolved label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Workcenter.Calcs.Total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Workcenter, Workcenter, Total)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Tons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Workcenter.Calcs.Rate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Workcenter, Workcenter, Rate)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TPH Fed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Workcenter.Calcs.Performance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Workcenter, Workcenter, Performance)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Workcenter.Calcs.Availability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Workcenter, Workcenter, Availability)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Availability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Circuit.A.Calcs.Total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Circuit, A, Total)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Combined 57/67 Total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Circuit.A.Calcs.Rate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Circuit, A, Rate)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Combined 57/67 TPH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Circuit.A.Calcs.Yield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Circuit, A, Yield)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57s Yield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Circuit.B.Calcs.Total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Circuit, B, Total)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CR-57 Total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Circuit.B.Calcs.Rate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Circuit, B, Rate)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CR-57 TPH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Circuit.B.Calcs.Yield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Circuit, B, Yield)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CR-57 Yield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Circuit.A.Line.A.Calcs.Rate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Circuit_Line_A, A, Rate)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57-2 TPH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Circuit.A.Line.A.Calcs.Yield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Circuit_Line_A, A, Yield)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57-2 Yield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Circuit.A.Line.B.Calcs.Rate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Circuit_Line_B, A, Rate)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57-1 TPH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Circuit.A.Line.B.Calcs.Yield</w:t>
            </w:r>
          </w:p>
        </w:tc>
        <w:tc>
          <w:tcPr>
            <w:tcW w:type="dxa" w:w="3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(101, 127, Circuit_Line_B, A, Yield)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5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57-1 Yield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Charts whose calcs entry doesn’t have a matching row (e.g. </w:t>
      </w:r>
      <w:r>
        <w:rPr>
          <w:rFonts w:ascii="Consolas" w:cs="Consolas" w:eastAsia="Consolas" w:hAnsi="Consolas"/>
          <w:sz w:val="18"/>
          <w:szCs w:val="18"/>
        </w:rPr>
        <w:t xml:space="preserve">Circuit.A.Line.A.Calcs.Total</w:t>
      </w:r>
      <w:r>
        <w:rPr>
          <w:rFonts w:ascii="Arial" w:cs="Arial" w:eastAsia="Arial" w:hAnsi="Arial"/>
        </w:rPr>
        <w:t xml:space="preserve">) fall through to the global </w:t>
      </w:r>
      <w:r>
        <w:rPr>
          <w:rFonts w:ascii="Consolas" w:cs="Consolas" w:eastAsia="Consolas" w:hAnsi="Consolas"/>
          <w:sz w:val="18"/>
          <w:szCs w:val="18"/>
        </w:rPr>
        <w:t xml:space="preserve">(0, 0)</w:t>
      </w:r>
      <w:r>
        <w:rPr>
          <w:rFonts w:ascii="Arial" w:cs="Arial" w:eastAsia="Arial" w:hAnsi="Arial"/>
        </w:rPr>
        <w:t xml:space="preserve"> row if one exists, otherwise display the raw key (“Total”). Either way the chart never breaks.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10. Setup steps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Run the DDL in §4 to add </w:t>
      </w:r>
      <w:r>
        <w:rPr>
          <w:rFonts w:ascii="Consolas" w:cs="Consolas" w:eastAsia="Consolas" w:hAnsi="Consolas"/>
          <w:sz w:val="18"/>
          <w:szCs w:val="18"/>
        </w:rPr>
        <w:t xml:space="preserve">CHART_LABEL</w:t>
      </w:r>
      <w:r>
        <w:rPr>
          <w:rFonts w:ascii="Arial" w:cs="Arial" w:eastAsia="Arial" w:hAnsi="Arial"/>
        </w:rPr>
        <w:t xml:space="preserve"> and the row-key unique constraint. Backfill from </w:t>
      </w:r>
      <w:r>
        <w:rPr>
          <w:rFonts w:ascii="Consolas" w:cs="Consolas" w:eastAsia="Consolas" w:hAnsi="Consolas"/>
          <w:sz w:val="18"/>
          <w:szCs w:val="18"/>
        </w:rPr>
        <w:t xml:space="preserve">DISPLAY_NAME</w:t>
      </w:r>
      <w:r>
        <w:rPr>
          <w:rFonts w:ascii="Arial" w:cs="Arial" w:eastAsia="Arial" w:hAnsi="Arial"/>
        </w:rPr>
        <w:t xml:space="preserve"> so existing rows render identical chart titles on day 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Grant </w:t>
      </w:r>
      <w:r>
        <w:rPr>
          <w:rFonts w:ascii="Consolas" w:cs="Consolas" w:eastAsia="Consolas" w:hAnsi="Consolas"/>
          <w:sz w:val="18"/>
          <w:szCs w:val="18"/>
        </w:rPr>
        <w:t xml:space="preserve">SELECT</w:t>
      </w:r>
      <w:r>
        <w:rPr>
          <w:rFonts w:ascii="Arial" w:cs="Arial" w:eastAsia="Arial" w:hAnsi="Arial"/>
        </w:rPr>
        <w:t xml:space="preserve"> on the three </w:t>
      </w:r>
      <w:r>
        <w:rPr>
          <w:rFonts w:ascii="Consolas" w:cs="Consolas" w:eastAsia="Consolas" w:hAnsi="Consolas"/>
          <w:sz w:val="18"/>
          <w:szCs w:val="18"/>
        </w:rPr>
        <w:t xml:space="preserve">MES.*</w:t>
      </w:r>
      <w:r>
        <w:rPr>
          <w:rFonts w:ascii="Arial" w:cs="Arial" w:eastAsia="Arial" w:hAnsi="Arial"/>
        </w:rPr>
        <w:t xml:space="preserve"> tables to the API’s read-only login (same grant pattern as the existing Departments JOIN).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Insert </w:t>
      </w:r>
      <w:r>
        <w:rPr>
          <w:rFonts w:ascii="Consolas" w:cs="Consolas" w:eastAsia="Consolas" w:hAnsi="Consolas"/>
          <w:sz w:val="18"/>
          <w:szCs w:val="18"/>
        </w:rPr>
        <w:t xml:space="preserve">(0, 0, …)</w:t>
      </w:r>
      <w:r>
        <w:rPr>
          <w:rFonts w:ascii="Arial" w:cs="Arial" w:eastAsia="Arial" w:hAnsi="Arial"/>
        </w:rPr>
        <w:t xml:space="preserve"> global rows for the metric keys you want a default label on (typically just the workcenter-scope rows). Asset-scoped scopes (Circuit/Line/Conveyor) usually stay per-(site, dept) since their labels are site-specific.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Wire </w:t>
      </w:r>
      <w:r>
        <w:rPr>
          <w:rFonts w:ascii="Consolas" w:cs="Consolas" w:eastAsia="Consolas" w:hAnsi="Consolas"/>
          <w:sz w:val="18"/>
          <w:szCs w:val="18"/>
        </w:rPr>
        <w:t xml:space="preserve">SqlChartLabelSource</w:t>
      </w:r>
      <w:r>
        <w:rPr>
          <w:rFonts w:ascii="Arial" w:cs="Arial" w:eastAsia="Arial" w:hAnsi="Arial"/>
        </w:rPr>
        <w:t xml:space="preserve"> into the lifespan startup (same pattern as </w:t>
      </w:r>
      <w:r>
        <w:rPr>
          <w:rFonts w:ascii="Consolas" w:cs="Consolas" w:eastAsia="Consolas" w:hAnsi="Consolas"/>
          <w:sz w:val="18"/>
          <w:szCs w:val="18"/>
        </w:rPr>
        <w:t xml:space="preserve">SqlProductionReportSource</w:t>
      </w:r>
      <w:r>
        <w:rPr>
          <w:rFonts w:ascii="Arial" w:cs="Arial" w:eastAsia="Arial" w:hAnsi="Arial"/>
        </w:rPr>
        <w:t xml:space="preserve">). Hold the snapshot on the service object, refresh on TTL.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In the response builder, call </w:t>
      </w:r>
      <w:r>
        <w:rPr>
          <w:rFonts w:ascii="Consolas" w:cs="Consolas" w:eastAsia="Consolas" w:hAnsi="Consolas"/>
          <w:sz w:val="18"/>
          <w:szCs w:val="18"/>
        </w:rPr>
        <w:t xml:space="preserve">labels.resolve(...)</w:t>
      </w:r>
      <w:r>
        <w:rPr>
          <w:rFonts w:ascii="Arial" w:cs="Arial" w:eastAsia="Arial" w:hAnsi="Arial"/>
        </w:rPr>
        <w:t xml:space="preserve"> using the path-to-key helpers (</w:t>
      </w:r>
      <w:r>
        <w:rPr>
          <w:rFonts w:ascii="Consolas" w:cs="Consolas" w:eastAsia="Consolas" w:hAnsi="Consolas"/>
          <w:sz w:val="18"/>
          <w:szCs w:val="18"/>
        </w:rPr>
        <w:t xml:space="preserve">workcenter_key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circuit_key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line_key</w:t>
      </w:r>
      <w:r>
        <w:rPr>
          <w:rFonts w:ascii="Arial" w:cs="Arial" w:eastAsia="Arial" w:hAnsi="Arial"/>
        </w:rPr>
        <w:t xml:space="preserve">) for each chart’s calcs entry. Replace the current “metric key as label” code path with the resolved string.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Verify in the dashboard: each chart's top-left title should now display the configured </w:t>
      </w:r>
      <w:r>
        <w:rPr>
          <w:rFonts w:ascii="Consolas" w:cs="Consolas" w:eastAsia="Consolas" w:hAnsi="Consolas"/>
          <w:sz w:val="18"/>
          <w:szCs w:val="18"/>
        </w:rPr>
        <w:t xml:space="preserve">CHART_LABEL</w:t>
      </w:r>
      <w:r>
        <w:rPr>
          <w:rFonts w:ascii="Arial" w:cs="Arial" w:eastAsia="Arial" w:hAnsi="Arial"/>
        </w:rPr>
        <w:t xml:space="preserve">. Calcs footnotes (top-right) continue to show the raw formula from the payload.</w:t>
      </w:r>
    </w:p>
    <w:p>
      <w:pPr>
        <w:pStyle w:val="Heading1"/>
        <w:spacing w:after="100" w:before="240"/>
      </w:pPr>
      <w:r>
        <w:rPr>
          <w:rFonts w:ascii="Arial" w:cs="Arial" w:eastAsia="Arial" w:hAnsi="Arial"/>
          <w:b/>
          <w:bCs/>
          <w:color w:val="00502f"/>
          <w:sz w:val="30"/>
          <w:szCs w:val="30"/>
        </w:rPr>
        <w:t xml:space="preserve">11. Why not reuse the existing SP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[UNS].[GET_CONFIGURED_RUN_REPORT]</w:t>
      </w:r>
      <w:r>
        <w:rPr>
          <w:rFonts w:ascii="Arial" w:cs="Arial" w:eastAsia="Arial" w:hAnsi="Arial"/>
        </w:rPr>
        <w:t xml:space="preserve"> is a dynamic-SQL flat-report generator owned by a different consumer (legacy tabular report). It returns one wide row per production report with display-named columns. Calling it from the chart API would be wasteful — we’d pay for the JSON_VALUE extractions and dataset hydration only to throw the values away and keep the column names. The query file in §7 reads the same three tables but is read-only, parameterless, and trivially cacheable. The two consumers stay decoupled.</w:t>
      </w:r>
    </w:p>
    <w:p>
      <w:pPr>
        <w:pBdr>
          <w:top w:val="single" w:color="999999" w:sz="6" w:space="6"/>
        </w:pBdr>
        <w:spacing w:after="60" w:before="2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Companion docs: context/sample-data/production-report/payload-schema.md, docs/site-setup-guide.docx, context/sql/sp-get-configured-run-report.sql (legacy consumer, unchanged).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t xml:space="preserve">Chart Labels — Method &amp; Setup  ·  Page </w:t>
    </w: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00502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Chart Labels — Method &amp; Setup</dc:title>
  <dc:creator>Production Metrics Dashboard</dc:creator>
  <cp:lastModifiedBy>Un-named</cp:lastModifiedBy>
  <cp:revision>1</cp:revision>
  <dcterms:created xsi:type="dcterms:W3CDTF">2026-05-13T20:25:27.689Z</dcterms:created>
  <dcterms:modified xsi:type="dcterms:W3CDTF">2026-05-13T20:25:27.698Z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