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InterCiter — Systems Design</w:t>
      </w:r>
    </w:p>
    <w:p>
      <w:pPr>
        <w:pStyle w:val="Subtitle"/>
      </w:pPr>
      <w:r>
        <w:t xml:space="preserve">Combined design document for review</w:t>
      </w:r>
    </w:p>
    <w:p>
      <w:pPr>
        <w:pStyle w:val="Date"/>
      </w:pPr>
      <w:r>
        <w:t xml:space="preserve">2026-07-20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interciter-systems-design-overview"/>
    <w:p>
      <w:pPr>
        <w:pStyle w:val="Heading1"/>
      </w:pPr>
      <w:r>
        <w:t xml:space="preserve">1. InterCiter — Systems Design Overview</w:t>
      </w:r>
    </w:p>
    <w:p>
      <w:pPr>
        <w:pStyle w:val="BlockText"/>
      </w:pPr>
      <w:r>
        <w:t xml:space="preserve">Last updated 2026-07-20. The design detail lives in</w:t>
      </w:r>
      <w:r>
        <w:t xml:space="preserve"> </w:t>
      </w:r>
      <w:hyperlink r:id="rId9">
        <w:r>
          <w:rPr>
            <w:rStyle w:val="Hyperlink"/>
          </w:rPr>
          <w:t xml:space="preserve">docs/</w:t>
        </w:r>
      </w:hyperlink>
      <w:r>
        <w:t xml:space="preserve">; this document is the entry point.</w:t>
      </w:r>
    </w:p>
    <w:bookmarkStart w:id="16" w:name="document-map"/>
    <w:p>
      <w:pPr>
        <w:pStyle w:val="Heading2"/>
      </w:pPr>
      <w:r>
        <w:t xml:space="preserve">1.1 Document map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Contents</w:t>
            </w:r>
          </w:p>
        </w:tc>
      </w:tr>
      <w:tr>
        <w:tc>
          <w:tcPr/>
          <w:p>
            <w:pPr>
              <w:pStyle w:val="Compact"/>
            </w:pPr>
            <w:hyperlink r:id="rId10">
              <w:r>
                <w:rPr>
                  <w:rStyle w:val="Hyperlink"/>
                </w:rPr>
                <w:t xml:space="preserve">docs/data-model.md</w:t>
              </w:r>
            </w:hyperlink>
          </w:p>
        </w:tc>
        <w:tc>
          <w:tcPr/>
          <w:p>
            <w:pPr>
              <w:pStyle w:val="Compact"/>
            </w:pPr>
            <w:r>
              <w:t xml:space="preserve">The immutable logical model: papers/versions/passages, occurrences vs interpretations, revision graph, soft clustering, first-class relation assertions, BioLink mapping</w:t>
            </w:r>
          </w:p>
        </w:tc>
      </w:tr>
      <w:tr>
        <w:tc>
          <w:tcPr/>
          <w:p>
            <w:pPr>
              <w:pStyle w:val="Compact"/>
            </w:pPr>
            <w:hyperlink r:id="rId11">
              <w:r>
                <w:rPr>
                  <w:rStyle w:val="Hyperlink"/>
                </w:rPr>
                <w:t xml:space="preserve">docs/architecture.md</w:t>
              </w:r>
            </w:hyperlink>
          </w:p>
        </w:tc>
        <w:tc>
          <w:tcPr/>
          <w:p>
            <w:pPr>
              <w:pStyle w:val="Compact"/>
            </w:pPr>
            <w:r>
              <w:t xml:space="preserve">Layers; write model vs read projection; Semantic Scholar integration; availability states; async jobs; ingestion security</w:t>
            </w:r>
          </w:p>
        </w:tc>
      </w:tr>
      <w:tr>
        <w:tc>
          <w:tcPr/>
          <w:p>
            <w:pPr>
              <w:pStyle w:val="Compact"/>
            </w:pPr>
            <w:hyperlink r:id="rId12">
              <w:r>
                <w:rPr>
                  <w:rStyle w:val="Hyperlink"/>
                </w:rPr>
                <w:t xml:space="preserve">docs/scoring-and-review.md</w:t>
              </w:r>
            </w:hyperlink>
          </w:p>
        </w:tc>
        <w:tc>
          <w:tcPr/>
          <w:p>
            <w:pPr>
              <w:pStyle w:val="Compact"/>
            </w:pPr>
            <w:r>
              <w:t xml:space="preserve">Decomposed confidence signals, Assessment records, review workflow, deferred user/trust scoring</w:t>
            </w:r>
          </w:p>
        </w:tc>
      </w:tr>
      <w:tr>
        <w:tc>
          <w:tcPr/>
          <w:p>
            <w:pPr>
              <w:pStyle w:val="Compact"/>
            </w:pPr>
            <w:hyperlink r:id="rId13">
              <w:r>
                <w:rPr>
                  <w:rStyle w:val="Hyperlink"/>
                </w:rPr>
                <w:t xml:space="preserve">docs/evaluation.md</w:t>
              </w:r>
            </w:hyperlink>
          </w:p>
        </w:tc>
        <w:tc>
          <w:tcPr/>
          <w:p>
            <w:pPr>
              <w:pStyle w:val="Compact"/>
            </w:pPr>
            <w:r>
              <w:t xml:space="preserve">Gold corpus, per-stage metrics, calibration and abstention, S2 intent as weak supervision</w:t>
            </w:r>
          </w:p>
        </w:tc>
      </w:tr>
      <w:tr>
        <w:tc>
          <w:tcPr/>
          <w:p>
            <w:pPr>
              <w:pStyle w:val="Compact"/>
            </w:pPr>
            <w:hyperlink r:id="rId14">
              <w:r>
                <w:rPr>
                  <w:rStyle w:val="Hyperlink"/>
                </w:rPr>
                <w:t xml:space="preserve">docs/api.md</w:t>
              </w:r>
            </w:hyperlink>
          </w:p>
        </w:tc>
        <w:tc>
          <w:tcPr/>
          <w:p>
            <w:pPr>
              <w:pStyle w:val="Compact"/>
            </w:pPr>
            <w:r>
              <w:t xml:space="preserve">The</w:t>
            </w:r>
            <w:r>
              <w:t xml:space="preserve"> </w:t>
            </w:r>
            <w:r>
              <w:rPr>
                <w:rStyle w:val="VerbatimChar"/>
              </w:rPr>
              <w:t xml:space="preserve">/v1</w:t>
            </w:r>
            <w:r>
              <w:t xml:space="preserve"> </w:t>
            </w:r>
            <w:r>
              <w:t xml:space="preserve">surface: jobs/runs, evidence endpoints, revisions, bounded traversal</w:t>
            </w:r>
          </w:p>
        </w:tc>
      </w:tr>
      <w:tr>
        <w:tc>
          <w:tcPr/>
          <w:p>
            <w:pPr>
              <w:pStyle w:val="Compact"/>
            </w:pPr>
            <w:hyperlink r:id="rId15">
              <w:r>
                <w:rPr>
                  <w:rStyle w:val="Hyperlink"/>
                </w:rPr>
                <w:t xml:space="preserve">docs/grant-framing.md</w:t>
              </w:r>
            </w:hyperlink>
          </w:p>
        </w:tc>
        <w:tc>
          <w:tcPr/>
          <w:p>
            <w:pPr>
              <w:pStyle w:val="Compact"/>
            </w:pPr>
            <w:r>
              <w:t xml:space="preserve">Three hypotheses, precise claims, budget honesty, domain-scope framing</w:t>
            </w:r>
          </w:p>
        </w:tc>
      </w:tr>
    </w:tbl>
    <w:bookmarkEnd w:id="16"/>
    <w:bookmarkStart w:id="17" w:name="summary"/>
    <w:p>
      <w:pPr>
        <w:pStyle w:val="Heading2"/>
      </w:pPr>
      <w:r>
        <w:t xml:space="preserve">1.2 Summary</w:t>
      </w:r>
    </w:p>
    <w:p>
      <w:pPr>
        <w:pStyle w:val="FirstParagraph"/>
      </w:pPr>
      <w:r>
        <w:t xml:space="preserve">InterCiter is a knowledge-graph system that extracts individual claims from scientific papers,</w:t>
      </w:r>
      <w:r>
        <w:t xml:space="preserve"> </w:t>
      </w:r>
      <w:r>
        <w:rPr>
          <w:b/>
          <w:bCs/>
        </w:rPr>
        <w:t xml:space="preserve">anchors each claim to its exact source passage</w:t>
      </w:r>
      <w:r>
        <w:t xml:space="preserve">, and classifies how citing claims relate to cited work — separating the citation’s</w:t>
      </w:r>
      <w:r>
        <w:t xml:space="preserve"> </w:t>
      </w:r>
      <w:r>
        <w:rPr>
          <w:i/>
          <w:iCs/>
        </w:rPr>
        <w:t xml:space="preserve">function</w:t>
      </w:r>
      <w:r>
        <w:t xml:space="preserve"> </w:t>
      </w:r>
      <w:r>
        <w:t xml:space="preserve">(background, method, direct evidence, comparison) from its</w:t>
      </w:r>
      <w:r>
        <w:t xml:space="preserve"> </w:t>
      </w:r>
      <w:r>
        <w:rPr>
          <w:i/>
          <w:iCs/>
        </w:rPr>
        <w:t xml:space="preserve">stance</w:t>
      </w:r>
      <w:r>
        <w:t xml:space="preserve"> </w:t>
      </w:r>
      <w:r>
        <w:t xml:space="preserve">(support, contradict, neutral). Walking these relations traces a claim to its</w:t>
      </w:r>
      <w:r>
        <w:t xml:space="preserve"> </w:t>
      </w:r>
      <w:r>
        <w:rPr>
          <w:b/>
          <w:bCs/>
        </w:rPr>
        <w:t xml:space="preserve">earlier cited antecedents within the traversed corpus</w:t>
      </w:r>
      <w:r>
        <w:t xml:space="preserve">. On this core it layers semantic search, citation-network visualization, and automated reference generation, all through a single API.</w:t>
      </w:r>
    </w:p>
    <w:p>
      <w:pPr>
        <w:pStyle w:val="BodyText"/>
      </w:pPr>
      <w:r>
        <w:t xml:space="preserve">The design philosophy is</w:t>
      </w:r>
      <w:r>
        <w:t xml:space="preserve"> </w:t>
      </w:r>
      <w:r>
        <w:rPr>
          <w:b/>
          <w:bCs/>
        </w:rPr>
        <w:t xml:space="preserve">provenance-first</w:t>
      </w:r>
      <w:r>
        <w:t xml:space="preserve">: model outputs, human corrections, cluster groupings, and review decisions coexist as distinct, immutable, traceable records. What the paper says (</w:t>
      </w:r>
      <w:r>
        <w:rPr>
          <w:rStyle w:val="VerbatimChar"/>
        </w:rPr>
        <w:t xml:space="preserve">ClaimOccurrence</w:t>
      </w:r>
      <w:r>
        <w:t xml:space="preserve">) is never overwritten by what a model thinks it means (</w:t>
      </w:r>
      <w:r>
        <w:rPr>
          <w:rStyle w:val="VerbatimChar"/>
        </w:rPr>
        <w:t xml:space="preserve">ClaimInterpretation</w:t>
      </w:r>
      <w:r>
        <w:t xml:space="preserve">); uncertainty is expressed by</w:t>
      </w:r>
      <w:r>
        <w:t xml:space="preserve"> </w:t>
      </w:r>
      <w:r>
        <w:rPr>
          <w:b/>
          <w:bCs/>
        </w:rPr>
        <w:t xml:space="preserve">abstaining</w:t>
      </w:r>
      <w:r>
        <w:t xml:space="preserve"> </w:t>
      </w:r>
      <w:r>
        <w:t xml:space="preserve">(</w:t>
      </w:r>
      <w:r>
        <w:rPr>
          <w:rStyle w:val="VerbatimChar"/>
        </w:rPr>
        <w:t xml:space="preserve">unresolved</w:t>
      </w:r>
      <w:r>
        <w:t xml:space="preserve">), never by overclaiming. The system builds on established infrastructure — BioLink, RoboKop, Semantic Scholar — and its research contribution is captured in three testable hypotheses: source-grounded extraction, selective claim alignment, and auditable lineage (</w:t>
      </w:r>
      <w:hyperlink r:id="rId15">
        <w:r>
          <w:rPr>
            <w:rStyle w:val="Hyperlink"/>
          </w:rPr>
          <w:t xml:space="preserve">docs/grant-framing.md</w:t>
        </w:r>
      </w:hyperlink>
      <w:r>
        <w:t xml:space="preserve">).</w:t>
      </w:r>
    </w:p>
    <w:bookmarkEnd w:id="17"/>
    <w:bookmarkStart w:id="18" w:name="design-principles"/>
    <w:p>
      <w:pPr>
        <w:pStyle w:val="Heading2"/>
      </w:pPr>
      <w:r>
        <w:t xml:space="preserve">1.3 Design principles</w:t>
      </w:r>
    </w:p>
    <w:p>
      <w:pPr>
        <w:pStyle w:val="Compact"/>
        <w:numPr>
          <w:ilvl w:val="0"/>
          <w:numId w:val="1001"/>
        </w:numPr>
      </w:pPr>
      <w:r>
        <w:rPr>
          <w:b/>
          <w:bCs/>
        </w:rPr>
        <w:t xml:space="preserve">Build smallest to largest.</w:t>
      </w:r>
      <w:r>
        <w:t xml:space="preserve"> </w:t>
      </w:r>
      <w:r>
        <w:t xml:space="preserve">The MVP is a thin, auditable vertical slice that proves the highest-risk scientific loop; everything else layers on the same foundation.</w:t>
      </w:r>
    </w:p>
    <w:p>
      <w:pPr>
        <w:pStyle w:val="Compact"/>
        <w:numPr>
          <w:ilvl w:val="0"/>
          <w:numId w:val="1001"/>
        </w:numPr>
      </w:pPr>
      <w:r>
        <w:rPr>
          <w:b/>
          <w:bCs/>
        </w:rPr>
        <w:t xml:space="preserve">Piggyback on existing infrastructure.</w:t>
      </w:r>
      <w:r>
        <w:t xml:space="preserve"> </w:t>
      </w:r>
      <w:r>
        <w:t xml:space="preserve">Extend BioLink rather than invent an ontology; inherit Semantic Scholar’s citation graph rather than parse bibliographies; use RoboKop’s provenance plumbing.</w:t>
      </w:r>
    </w:p>
    <w:p>
      <w:pPr>
        <w:pStyle w:val="Compact"/>
        <w:numPr>
          <w:ilvl w:val="0"/>
          <w:numId w:val="1001"/>
        </w:numPr>
      </w:pPr>
      <w:r>
        <w:rPr>
          <w:b/>
          <w:bCs/>
        </w:rPr>
        <w:t xml:space="preserve">Provenance-first: immutable assertions, not</w:t>
      </w:r>
      <w:r>
        <w:rPr>
          <w:b/>
          <w:bCs/>
        </w:rPr>
        <w:t xml:space="preserve"> </w:t>
      </w:r>
      <w:r>
        <w:rPr>
          <w:b/>
          <w:bCs/>
        </w:rPr>
        <w:t xml:space="preserve">“never delete.”</w:t>
      </w:r>
      <w:r>
        <w:t xml:space="preserve"> </w:t>
      </w:r>
      <w:r>
        <w:t xml:space="preserve">Scientific assertions and decisions are append-only; tombstones, retention, and takedown handling still exist for legal and licensing reality.</w:t>
      </w:r>
    </w:p>
    <w:p>
      <w:pPr>
        <w:pStyle w:val="Compact"/>
        <w:numPr>
          <w:ilvl w:val="0"/>
          <w:numId w:val="1001"/>
        </w:numPr>
      </w:pPr>
      <w:r>
        <w:rPr>
          <w:b/>
          <w:bCs/>
        </w:rPr>
        <w:t xml:space="preserve">Evidence anchoring makes provenance true.</w:t>
      </w:r>
      <w:r>
        <w:t xml:space="preserve"> </w:t>
      </w:r>
      <w:r>
        <w:t xml:space="preserve">Every claim points to a paper version, passage, offsets, and verbatim text. A provenance-first system that can’t show where in the paper a claim came from is internally contradictory.</w:t>
      </w:r>
    </w:p>
    <w:p>
      <w:pPr>
        <w:pStyle w:val="Compact"/>
        <w:numPr>
          <w:ilvl w:val="0"/>
          <w:numId w:val="1001"/>
        </w:numPr>
      </w:pPr>
      <w:r>
        <w:rPr>
          <w:b/>
          <w:bCs/>
        </w:rPr>
        <w:t xml:space="preserve">Abstention is a first-class outcome.</w:t>
      </w:r>
      <w:r>
        <w:t xml:space="preserve"> </w:t>
      </w:r>
      <w:r>
        <w:t xml:space="preserve">Every uncertain stage — alignment, stance, clustering — can return</w:t>
      </w:r>
      <w:r>
        <w:t xml:space="preserve"> </w:t>
      </w:r>
      <w:r>
        <w:rPr>
          <w:rStyle w:val="VerbatimChar"/>
        </w:rPr>
        <w:t xml:space="preserve">unresolved</w:t>
      </w:r>
      <w:r>
        <w:t xml:space="preserve"> </w:t>
      </w:r>
      <w:r>
        <w:t xml:space="preserve">with candidates and calibrated scores, rather than guessing.</w:t>
      </w:r>
    </w:p>
    <w:p>
      <w:pPr>
        <w:pStyle w:val="Compact"/>
        <w:numPr>
          <w:ilvl w:val="0"/>
          <w:numId w:val="1001"/>
        </w:numPr>
      </w:pPr>
      <w:r>
        <w:rPr>
          <w:b/>
          <w:bCs/>
        </w:rPr>
        <w:t xml:space="preserve">LLM as starting point, not source of truth.</w:t>
      </w:r>
      <w:r>
        <w:t xml:space="preserve"> </w:t>
      </w:r>
      <w:r>
        <w:t xml:space="preserve">Extraction runs are fully recorded and swappable; human review corrects rather than gates.</w:t>
      </w:r>
    </w:p>
    <w:p>
      <w:pPr>
        <w:pStyle w:val="Compact"/>
        <w:numPr>
          <w:ilvl w:val="0"/>
          <w:numId w:val="1001"/>
        </w:numPr>
      </w:pPr>
      <w:r>
        <w:rPr>
          <w:b/>
          <w:bCs/>
        </w:rPr>
        <w:t xml:space="preserve">Separate the logical model from the physical schema.</w:t>
      </w:r>
      <w:r>
        <w:t xml:space="preserve"> </w:t>
      </w:r>
      <w:r>
        <w:t xml:space="preserve">The rich immutable model is the system of record (relational); queries traverse a derived, rebuildable graph projection that is never authoritative.</w:t>
      </w:r>
    </w:p>
    <w:p>
      <w:pPr>
        <w:pStyle w:val="Compact"/>
        <w:numPr>
          <w:ilvl w:val="0"/>
          <w:numId w:val="1001"/>
        </w:numPr>
      </w:pPr>
      <w:r>
        <w:rPr>
          <w:b/>
          <w:bCs/>
        </w:rPr>
        <w:t xml:space="preserve">Signals stay decomposed.</w:t>
      </w:r>
      <w:r>
        <w:t xml:space="preserve"> </w:t>
      </w:r>
      <w:r>
        <w:t xml:space="preserve">No blended global confidence; model agreement and literature corroboration are different evidence and never summed.</w:t>
      </w:r>
    </w:p>
    <w:p>
      <w:pPr>
        <w:pStyle w:val="Compact"/>
        <w:numPr>
          <w:ilvl w:val="0"/>
          <w:numId w:val="1001"/>
        </w:numPr>
      </w:pPr>
      <w:r>
        <w:rPr>
          <w:b/>
          <w:bCs/>
        </w:rPr>
        <w:t xml:space="preserve">API-first.</w:t>
      </w:r>
      <w:r>
        <w:t xml:space="preserve"> </w:t>
      </w:r>
      <w:r>
        <w:t xml:space="preserve">Every feature, including InterCiter’s own frontends, routes through the API — which serves reader-friendly composed views by default, with the audit structure behind explicit endpoints.</w:t>
      </w:r>
    </w:p>
    <w:p>
      <w:pPr>
        <w:pStyle w:val="Compact"/>
        <w:numPr>
          <w:ilvl w:val="0"/>
          <w:numId w:val="1001"/>
        </w:numPr>
      </w:pPr>
      <w:r>
        <w:rPr>
          <w:b/>
          <w:bCs/>
        </w:rPr>
        <w:t xml:space="preserve">Minimal, reproducible storage footprint.</w:t>
      </w:r>
      <w:r>
        <w:t xml:space="preserve"> </w:t>
      </w:r>
      <w:r>
        <w:t xml:space="preserve">Domain slices with pinned corpus versions and inclusion criteria; inherit precomputed artifacts where they’re actually fit for purpose.</w:t>
      </w:r>
    </w:p>
    <w:bookmarkEnd w:id="18"/>
    <w:bookmarkStart w:id="19" w:name="architecture-at-a-glance"/>
    <w:p>
      <w:pPr>
        <w:pStyle w:val="Heading2"/>
      </w:pPr>
      <w:r>
        <w:t xml:space="preserve">1.4 Architecture at a glance</w:t>
      </w:r>
    </w:p>
    <w:p>
      <w:pPr>
        <w:pStyle w:val="FirstParagraph"/>
      </w:pPr>
      <w:r>
        <w:t xml:space="preserve">Three layers —</w:t>
      </w:r>
      <w:r>
        <w:t xml:space="preserve"> </w:t>
      </w:r>
      <w:r>
        <w:rPr>
          <w:b/>
          <w:bCs/>
        </w:rPr>
        <w:t xml:space="preserve">Ingestion/Extraction</w:t>
      </w:r>
      <w:r>
        <w:t xml:space="preserve"> </w:t>
      </w:r>
      <w:r>
        <w:t xml:space="preserve">(stateless, pluggable, run-recorded),</w:t>
      </w:r>
      <w:r>
        <w:t xml:space="preserve"> </w:t>
      </w:r>
      <w:r>
        <w:rPr>
          <w:b/>
          <w:bCs/>
        </w:rPr>
        <w:t xml:space="preserve">Knowledge Graph</w:t>
      </w:r>
      <w:r>
        <w:t xml:space="preserve"> </w:t>
      </w:r>
      <w:r>
        <w:t xml:space="preserve">(immutable system of record + derived projection, BioLink-aligned),</w:t>
      </w:r>
      <w:r>
        <w:t xml:space="preserve"> </w:t>
      </w:r>
      <w:r>
        <w:rPr>
          <w:b/>
          <w:bCs/>
        </w:rPr>
        <w:t xml:space="preserve">Access</w:t>
      </w:r>
      <w:r>
        <w:t xml:space="preserve"> </w:t>
      </w:r>
      <w:r>
        <w:t xml:space="preserve">(API and everything on it). The write model is normalized PostgreSQL; the read model is a periodically rebuilt graph projection that flattens occurrence/interpretation/cluster chains into traversable claim nodes, with every projected edge pointing back to its evidence-bearing</w:t>
      </w:r>
      <w:r>
        <w:t xml:space="preserve"> </w:t>
      </w:r>
      <w:r>
        <w:rPr>
          <w:rStyle w:val="VerbatimChar"/>
        </w:rPr>
        <w:t xml:space="preserve">RelationAssertion</w:t>
      </w:r>
      <w:r>
        <w:t xml:space="preserve">. Details and guardrails:</w:t>
      </w:r>
      <w:r>
        <w:t xml:space="preserve"> </w:t>
      </w:r>
      <w:hyperlink r:id="rId11">
        <w:r>
          <w:rPr>
            <w:rStyle w:val="Hyperlink"/>
          </w:rPr>
          <w:t xml:space="preserve">docs/architecture.md</w:t>
        </w:r>
      </w:hyperlink>
      <w:r>
        <w:t xml:space="preserve">.</w:t>
      </w:r>
    </w:p>
    <w:bookmarkEnd w:id="19"/>
    <w:bookmarkStart w:id="22" w:name="mvp-a-thin-auditable-vertical-slice"/>
    <w:p>
      <w:pPr>
        <w:pStyle w:val="Heading2"/>
      </w:pPr>
      <w:r>
        <w:t xml:space="preserve">1.5 MVP — a thin, auditable vertical slice</w:t>
      </w:r>
    </w:p>
    <w:p>
      <w:pPr>
        <w:pStyle w:val="BlockText"/>
      </w:pPr>
      <w:r>
        <w:t xml:space="preserve">Given an open-access biomedical paper, identify empirical result claims, show their exact source passages and citation contexts, classify each cited relationship (function + stance) with calibrated abstention, and trace</w:t>
      </w:r>
      <w:r>
        <w:t xml:space="preserve"> </w:t>
      </w:r>
      <w:r>
        <w:rPr>
          <w:b/>
          <w:bCs/>
        </w:rPr>
        <w:t xml:space="preserve">one hop</w:t>
      </w:r>
      <w:r>
        <w:t xml:space="preserve"> </w:t>
      </w:r>
      <w:r>
        <w:t xml:space="preserve">to the cited paper or a confidently matched target claim.</w:t>
      </w:r>
    </w:p>
    <w:p>
      <w:pPr>
        <w:pStyle w:val="FirstParagraph"/>
      </w:pPr>
      <w:r>
        <w:rPr>
          <w:b/>
          <w:bCs/>
        </w:rPr>
        <w:t xml:space="preserve">What counts as an MVP claim:</w:t>
      </w:r>
      <w:r>
        <w:t xml:space="preserve"> </w:t>
      </w:r>
      <w:r>
        <w:t xml:space="preserve">an empirical result claim — a statement reporting a study finding with a direction of effect — in open-access full text (XML first; general PDF ingestion deferred), within one tightly defined biomedical subdomain.</w:t>
      </w:r>
    </w:p>
    <w:bookmarkStart w:id="20" w:name="in-the-mvp"/>
    <w:p>
      <w:pPr>
        <w:pStyle w:val="Heading3"/>
      </w:pPr>
      <w:r>
        <w:t xml:space="preserve">1.5.1 In the MVP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Include</w:t>
            </w:r>
          </w:p>
        </w:tc>
        <w:tc>
          <w:tcPr/>
          <w:p>
            <w:pPr>
              <w:pStyle w:val="Compact"/>
            </w:pPr>
            <w:r>
              <w:t xml:space="preserve">Rationale</w:t>
            </w:r>
          </w:p>
        </w:tc>
      </w:tr>
      <w:tr>
        <w:tc>
          <w:tcPr/>
          <w:p>
            <w:pPr>
              <w:pStyle w:val="Compact"/>
            </w:pPr>
            <w:r>
              <w:t xml:space="preserve">One biomedical subdomain, open-access XML first</w:t>
            </w:r>
          </w:p>
        </w:tc>
        <w:tc>
          <w:tcPr/>
          <w:p>
            <w:pPr>
              <w:pStyle w:val="Compact"/>
            </w:pPr>
            <w:r>
              <w:t xml:space="preserve">Bounds ontology and annotation variation; avoids PDF parsing dominating the research</w:t>
            </w:r>
          </w:p>
        </w:tc>
      </w:tr>
      <w:tr>
        <w:tc>
          <w:tcPr/>
          <w:p>
            <w:pPr>
              <w:pStyle w:val="Compact"/>
            </w:pPr>
            <w:r>
              <w:t xml:space="preserve">Empirical result claims only</w:t>
            </w:r>
          </w:p>
        </w:tc>
        <w:tc>
          <w:tcPr/>
          <w:p>
            <w:pPr>
              <w:pStyle w:val="Compact"/>
            </w:pPr>
            <w:r>
              <w:t xml:space="preserve">A definable target, unlike</w:t>
            </w:r>
            <w:r>
              <w:t xml:space="preserve"> </w:t>
            </w:r>
            <w:r>
              <w:t xml:space="preserve">“all claims”</w:t>
            </w:r>
          </w:p>
        </w:tc>
      </w:tr>
      <w:tr>
        <w:tc>
          <w:tcPr/>
          <w:p>
            <w:pPr>
              <w:pStyle w:val="Compact"/>
            </w:pPr>
            <w:r>
              <w:t xml:space="preserve">Exact evidence anchoring (versions, passages, spans)</w:t>
            </w:r>
          </w:p>
        </w:tc>
        <w:tc>
          <w:tcPr/>
          <w:p>
            <w:pPr>
              <w:pStyle w:val="Compact"/>
            </w:pPr>
            <w:r>
              <w:t xml:space="preserve">Required for trust and for evaluation</w:t>
            </w:r>
          </w:p>
        </w:tc>
      </w:tr>
      <w:tr>
        <w:tc>
          <w:tcPr/>
          <w:p>
            <w:pPr>
              <w:pStyle w:val="Compact"/>
            </w:pPr>
            <w:r>
              <w:t xml:space="preserve">One reference extraction pipeline, fully run-recorded</w:t>
            </w:r>
          </w:p>
        </w:tc>
        <w:tc>
          <w:tcPr/>
          <w:p>
            <w:pPr>
              <w:pStyle w:val="Compact"/>
            </w:pPr>
            <w:r>
              <w:t xml:space="preserve">Tests the hypothesis; preserves swappability via</w:t>
            </w:r>
            <w:r>
              <w:t xml:space="preserve"> </w:t>
            </w:r>
            <w:r>
              <w:rPr>
                <w:rStyle w:val="VerbatimChar"/>
              </w:rPr>
              <w:t xml:space="preserve">ExtractionRun</w:t>
            </w:r>
            <w:r>
              <w:t xml:space="preserve"> </w:t>
            </w:r>
            <w:r>
              <w:t xml:space="preserve">provenance</w:t>
            </w:r>
          </w:p>
        </w:tc>
      </w:tr>
      <w:tr>
        <w:tc>
          <w:tcPr/>
          <w:p>
            <w:pPr>
              <w:pStyle w:val="Compact"/>
            </w:pPr>
            <w:r>
              <w:t xml:space="preserve">Citation-scope identification, then function/stance classification</w:t>
            </w:r>
          </w:p>
        </w:tc>
        <w:tc>
          <w:tcPr/>
          <w:p>
            <w:pPr>
              <w:pStyle w:val="Compact"/>
            </w:pPr>
            <w:r>
              <w:t xml:space="preserve">Scope must precede stance</w:t>
            </w:r>
          </w:p>
        </w:tc>
      </w:tr>
      <w:tr>
        <w:tc>
          <w:tcPr/>
          <w:p>
            <w:pPr>
              <w:pStyle w:val="Compact"/>
            </w:pPr>
            <w:r>
              <w:t xml:space="preserve">Paper-level target + optional claim-level alignment, with abstention</w:t>
            </w:r>
          </w:p>
        </w:tc>
        <w:tc>
          <w:tcPr/>
          <w:p>
            <w:pPr>
              <w:pStyle w:val="Compact"/>
            </w:pPr>
            <w:r>
              <w:t xml:space="preserve">The chain never dead-ends, and never overclaims</w:t>
            </w:r>
          </w:p>
        </w:tc>
      </w:tr>
      <w:tr>
        <w:tc>
          <w:tcPr/>
          <w:p>
            <w:pPr>
              <w:pStyle w:val="Compact"/>
            </w:pPr>
            <w:r>
              <w:t xml:space="preserve">One-hop trace endpoint</w:t>
            </w:r>
          </w:p>
        </w:tc>
        <w:tc>
          <w:tcPr/>
          <w:p>
            <w:pPr>
              <w:pStyle w:val="Compact"/>
            </w:pPr>
            <w:r>
              <w:t xml:space="preserve">Prevents multi-hop error compounding from dominating early results</w:t>
            </w:r>
          </w:p>
        </w:tc>
      </w:tr>
      <w:tr>
        <w:tc>
          <w:tcPr/>
          <w:p>
            <w:pPr>
              <w:pStyle w:val="Compact"/>
            </w:pPr>
            <w:r>
              <w:t xml:space="preserve">Minimal annotation + adjudication workflow</w:t>
            </w:r>
          </w:p>
        </w:tc>
        <w:tc>
          <w:tcPr/>
          <w:p>
            <w:pPr>
              <w:pStyle w:val="Compact"/>
            </w:pPr>
            <w:r>
              <w:t xml:space="preserve">Creates ground truth; doubles as the review mechanism</w:t>
            </w:r>
          </w:p>
        </w:tc>
      </w:tr>
      <w:tr>
        <w:tc>
          <w:tcPr/>
          <w:p>
            <w:pPr>
              <w:pStyle w:val="Compact"/>
            </w:pPr>
            <w:r>
              <w:t xml:space="preserve">Soft clustering (high-precision thresholds, abstain when unsure)</w:t>
            </w:r>
          </w:p>
        </w:tc>
        <w:tc>
          <w:tcPr/>
          <w:p>
            <w:pPr>
              <w:pStyle w:val="Compact"/>
            </w:pPr>
            <w:r>
              <w:t xml:space="preserve">Needed for corroboration counting; non-destructive by construction</w:t>
            </w:r>
          </w:p>
        </w:tc>
      </w:tr>
      <w:tr>
        <w:tc>
          <w:tcPr/>
          <w:p>
            <w:pPr>
              <w:pStyle w:val="Compact"/>
            </w:pPr>
            <w:r>
              <w:t xml:space="preserve">Polling job API; minimal roles + first-class ownership</w:t>
            </w:r>
          </w:p>
        </w:tc>
        <w:tc>
          <w:tcPr/>
          <w:p>
            <w:pPr>
              <w:pStyle w:val="Compact"/>
            </w:pPr>
            <w:r>
              <w:t xml:space="preserve">Simple, forecloses nothing</w:t>
            </w:r>
          </w:p>
        </w:tc>
      </w:tr>
      <w:tr>
        <w:tc>
          <w:tcPr/>
          <w:p>
            <w:pPr>
              <w:pStyle w:val="Compact"/>
            </w:pPr>
            <w:r>
              <w:t xml:space="preserve">Ingestion hardening (sandboxed parsing, output validation, prompt-injection defenses)</w:t>
            </w:r>
          </w:p>
        </w:tc>
        <w:tc>
          <w:tcPr/>
          <w:p>
            <w:pPr>
              <w:pStyle w:val="Compact"/>
            </w:pPr>
            <w:r>
              <w:t xml:space="preserve">The pipeline eats untrusted documents</w:t>
            </w:r>
          </w:p>
        </w:tc>
      </w:tr>
    </w:tbl>
    <w:bookmarkEnd w:id="20"/>
    <w:bookmarkStart w:id="21" w:name="deferred-to-phase-2"/>
    <w:p>
      <w:pPr>
        <w:pStyle w:val="Heading3"/>
      </w:pPr>
      <w:r>
        <w:t xml:space="preserve">1.5.2 Deferred to phase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Defer</w:t>
            </w:r>
          </w:p>
        </w:tc>
        <w:tc>
          <w:tcPr/>
          <w:p>
            <w:pPr>
              <w:pStyle w:val="Compact"/>
            </w:pPr>
            <w:r>
              <w:t xml:space="preserve">Reason</w:t>
            </w:r>
          </w:p>
        </w:tc>
      </w:tr>
      <w:tr>
        <w:tc>
          <w:tcPr/>
          <w:p>
            <w:pPr>
              <w:pStyle w:val="Compact"/>
            </w:pPr>
            <w:r>
              <w:t xml:space="preserve">Production multi-LLM extraction</w:t>
            </w:r>
          </w:p>
        </w:tc>
        <w:tc>
          <w:tcPr/>
          <w:p>
            <w:pPr>
              <w:pStyle w:val="Compact"/>
            </w:pPr>
            <w:r>
              <w:t xml:space="preserve">Swappability is demonstrated on the eval set instead (</w:t>
            </w:r>
            <w:hyperlink r:id="rId13">
              <w:r>
                <w:rPr>
                  <w:rStyle w:val="Hyperlink"/>
                </w:rPr>
                <w:t xml:space="preserve">docs/evaluation.md</w:t>
              </w:r>
            </w:hyperlink>
            <w:r>
              <w:t xml:space="preserve">)</w:t>
            </w:r>
          </w:p>
        </w:tc>
      </w:tr>
      <w:tr>
        <w:tc>
          <w:tcPr/>
          <w:p>
            <w:pPr>
              <w:pStyle w:val="Compact"/>
            </w:pPr>
            <w:r>
              <w:t xml:space="preserve">Blended ranking scores</w:t>
            </w:r>
          </w:p>
        </w:tc>
        <w:tc>
          <w:tcPr/>
          <w:p>
            <w:pPr>
              <w:pStyle w:val="Compact"/>
            </w:pPr>
            <w:r>
              <w:t xml:space="preserve">Components must be validated separately first</w:t>
            </w:r>
          </w:p>
        </w:tc>
      </w:tr>
      <w:tr>
        <w:tc>
          <w:tcPr/>
          <w:p>
            <w:pPr>
              <w:pStyle w:val="Compact"/>
            </w:pPr>
            <w:r>
              <w:t xml:space="preserve">Public user scores + paper trust weighting</w:t>
            </w:r>
          </w:p>
        </w:tc>
        <w:tc>
          <w:tcPr/>
          <w:p>
            <w:pPr>
              <w:pStyle w:val="Compact"/>
            </w:pPr>
            <w:r>
              <w:t xml:space="preserve">Identity, abuse, and bias problems; overlay design retained for later</w:t>
            </w:r>
          </w:p>
        </w:tc>
      </w:tr>
      <w:tr>
        <w:tc>
          <w:tcPr/>
          <w:p>
            <w:pPr>
              <w:pStyle w:val="Compact"/>
            </w:pPr>
            <w:r>
              <w:t xml:space="preserve">Deep multi-hop traversal</w:t>
            </w:r>
          </w:p>
        </w:tc>
        <w:tc>
          <w:tcPr/>
          <w:p>
            <w:pPr>
              <w:pStyle w:val="Compact"/>
            </w:pPr>
            <w:r>
              <w:t xml:space="preserve">Per-hop errors compound; ships bounded (</w:t>
            </w:r>
            <w:r>
              <w:rPr>
                <w:rStyle w:val="VerbatimChar"/>
              </w:rPr>
              <w:t xml:space="preserve">max_depth</w:t>
            </w:r>
            <w:r>
              <w:t xml:space="preserve">,</w:t>
            </w:r>
            <w:r>
              <w:t xml:space="preserve"> </w:t>
            </w:r>
            <w:r>
              <w:rPr>
                <w:rStyle w:val="VerbatimChar"/>
              </w:rPr>
              <w:t xml:space="preserve">max_nodes</w:t>
            </w:r>
            <w:r>
              <w:t xml:space="preserve">) when it ships</w:t>
            </w:r>
          </w:p>
        </w:tc>
      </w:tr>
      <w:tr>
        <w:tc>
          <w:tcPr/>
          <w:p>
            <w:pPr>
              <w:pStyle w:val="Compact"/>
            </w:pPr>
            <w:r>
              <w:t xml:space="preserve">Reference generation</w:t>
            </w:r>
          </w:p>
        </w:tc>
        <w:tc>
          <w:tcPr/>
          <w:p>
            <w:pPr>
              <w:pStyle w:val="Compact"/>
            </w:pPr>
            <w:r>
              <w:t xml:space="preserve">Depends on validated high-precision retrieval</w:t>
            </w:r>
          </w:p>
        </w:tc>
      </w:tr>
      <w:tr>
        <w:tc>
          <w:tcPr/>
          <w:p>
            <w:pPr>
              <w:pStyle w:val="Compact"/>
            </w:pPr>
            <w:r>
              <w:t xml:space="preserve">General PDF ingestion</w:t>
            </w:r>
          </w:p>
        </w:tc>
        <w:tc>
          <w:tcPr/>
          <w:p>
            <w:pPr>
              <w:pStyle w:val="Compact"/>
            </w:pPr>
            <w:r>
              <w:t xml:space="preserve">After the structured-text pipeline is validated</w:t>
            </w:r>
          </w:p>
        </w:tc>
      </w:tr>
      <w:tr>
        <w:tc>
          <w:tcPr/>
          <w:p>
            <w:pPr>
              <w:pStyle w:val="Compact"/>
            </w:pPr>
            <w:r>
              <w:t xml:space="preserve">Cross-domain support</w:t>
            </w:r>
          </w:p>
        </w:tc>
        <w:tc>
          <w:tcPr/>
          <w:p>
            <w:pPr>
              <w:pStyle w:val="Compact"/>
            </w:pPr>
            <w:r>
              <w:t xml:space="preserve">Vocabularies become domain plugins later; architecture stays domain-neutral</w:t>
            </w:r>
          </w:p>
        </w:tc>
      </w:tr>
      <w:tr>
        <w:tc>
          <w:tcPr/>
          <w:p>
            <w:pPr>
              <w:pStyle w:val="Compact"/>
            </w:pPr>
            <w:r>
              <w:t xml:space="preserve">Network visualization; review-queue prioritization; webhooks</w:t>
            </w:r>
          </w:p>
        </w:tc>
        <w:tc>
          <w:tcPr/>
          <w:p>
            <w:pPr>
              <w:pStyle w:val="Compact"/>
            </w:pPr>
            <w:r>
              <w:t xml:space="preserve">Layers over data already stored</w:t>
            </w:r>
          </w:p>
        </w:tc>
      </w:tr>
    </w:tbl>
    <w:bookmarkEnd w:id="21"/>
    <w:bookmarkEnd w:id="22"/>
    <w:bookmarkStart w:id="23" w:name="open-decisions-and-known-risks"/>
    <w:p>
      <w:pPr>
        <w:pStyle w:val="Heading2"/>
      </w:pPr>
      <w:r>
        <w:t xml:space="preserve">1.6 Open decisions and known risks</w:t>
      </w:r>
    </w:p>
    <w:p>
      <w:pPr>
        <w:pStyle w:val="Compact"/>
        <w:numPr>
          <w:ilvl w:val="0"/>
          <w:numId w:val="1002"/>
        </w:numPr>
      </w:pPr>
      <w:r>
        <w:rPr>
          <w:b/>
          <w:bCs/>
        </w:rPr>
        <w:t xml:space="preserve">Domain scope — decided:</w:t>
      </w:r>
      <w:r>
        <w:t xml:space="preserve"> </w:t>
      </w:r>
      <w:r>
        <w:t xml:space="preserve">MVP narrows to one biomedical subdomain, with domain-agnosticism expressed as</w:t>
      </w:r>
      <w:r>
        <w:t xml:space="preserve"> </w:t>
      </w:r>
      <w:r>
        <w:t xml:space="preserve">“domain-neutral architecture, pluggable vocabularies”</w:t>
      </w:r>
      <w:r>
        <w:t xml:space="preserve"> </w:t>
      </w:r>
      <w:r>
        <w:t xml:space="preserve">(</w:t>
      </w:r>
      <w:hyperlink r:id="rId15">
        <w:r>
          <w:rPr>
            <w:rStyle w:val="Hyperlink"/>
          </w:rPr>
          <w:t xml:space="preserve">docs/grant-framing.md</w:t>
        </w:r>
      </w:hyperlink>
      <w:r>
        <w:t xml:space="preserve">). Revisit only if the grant’s funder profile demands broader initial scope.</w:t>
      </w:r>
    </w:p>
    <w:p>
      <w:pPr>
        <w:pStyle w:val="Compact"/>
        <w:numPr>
          <w:ilvl w:val="0"/>
          <w:numId w:val="1002"/>
        </w:numPr>
      </w:pPr>
      <w:r>
        <w:rPr>
          <w:b/>
          <w:bCs/>
        </w:rPr>
        <w:t xml:space="preserve">Which biomedical subdomain / paper type — open.</w:t>
      </w:r>
      <w:r>
        <w:t xml:space="preserve"> </w:t>
      </w:r>
      <w:r>
        <w:t xml:space="preserve">Choose for annotation tractability (e.g. a literature with relatively formulaic empirical claims) before corpus work begins.</w:t>
      </w:r>
    </w:p>
    <w:p>
      <w:pPr>
        <w:pStyle w:val="Compact"/>
        <w:numPr>
          <w:ilvl w:val="0"/>
          <w:numId w:val="1002"/>
        </w:numPr>
      </w:pPr>
      <w:r>
        <w:rPr>
          <w:b/>
          <w:bCs/>
        </w:rPr>
        <w:t xml:space="preserve">LLM cost at scale — open.</w:t>
      </w:r>
      <w:r>
        <w:t xml:space="preserve"> </w:t>
      </w:r>
      <w:r>
        <w:t xml:space="preserve">Cost per paper is a tracked evaluation metric; corpus-scale extrapolation belongs in the grant budget.</w:t>
      </w:r>
    </w:p>
    <w:p>
      <w:pPr>
        <w:pStyle w:val="Compact"/>
        <w:numPr>
          <w:ilvl w:val="0"/>
          <w:numId w:val="1002"/>
        </w:numPr>
      </w:pPr>
      <w:r>
        <w:rPr>
          <w:b/>
          <w:bCs/>
        </w:rPr>
        <w:t xml:space="preserve">Clustering thresholds — open by design.</w:t>
      </w:r>
      <w:r>
        <w:t xml:space="preserve"> </w:t>
      </w:r>
      <w:r>
        <w:t xml:space="preserve">Set from the gold corpus via calibration; the standing policy is prefer-fragmentation-over-pollution.</w:t>
      </w:r>
    </w:p>
    <w:p>
      <w:pPr>
        <w:pStyle w:val="Compact"/>
        <w:numPr>
          <w:ilvl w:val="0"/>
          <w:numId w:val="1002"/>
        </w:numPr>
      </w:pPr>
      <w:r>
        <w:rPr>
          <w:b/>
          <w:bCs/>
        </w:rPr>
        <w:t xml:space="preserve">Physical graph store — deliberately last.</w:t>
      </w:r>
      <w:r>
        <w:t xml:space="preserve"> </w:t>
      </w:r>
      <w:r>
        <w:t xml:space="preserve">Chosen only after the immutable logical model stabilizes; the logical model is the priority.</w:t>
      </w:r>
    </w:p>
    <w:bookmarkEnd w:id="23"/>
    <w:bookmarkStart w:id="24" w:name="key-design-decisions"/>
    <w:p>
      <w:pPr>
        <w:pStyle w:val="Heading2"/>
      </w:pPr>
      <w:r>
        <w:t xml:space="preserve">1.7 Key design decisions</w:t>
      </w:r>
    </w:p>
    <w:p>
      <w:pPr>
        <w:pStyle w:val="FirstParagraph"/>
      </w:pPr>
      <w:r>
        <w:t xml:space="preserve">The choices that define the design, in order of importance:</w:t>
      </w:r>
    </w:p>
    <w:p>
      <w:pPr>
        <w:pStyle w:val="Compact"/>
        <w:numPr>
          <w:ilvl w:val="0"/>
          <w:numId w:val="1003"/>
        </w:numPr>
      </w:pPr>
      <w:r>
        <w:rPr>
          <w:b/>
          <w:bCs/>
        </w:rPr>
        <w:t xml:space="preserve">Evidence anchoring is mandatory.</w:t>
      </w:r>
      <w:r>
        <w:t xml:space="preserve"> </w:t>
      </w:r>
      <w:r>
        <w:rPr>
          <w:rStyle w:val="VerbatimChar"/>
        </w:rPr>
        <w:t xml:space="preserve">PaperVersion</w:t>
      </w:r>
      <w:r>
        <w:t xml:space="preserve"> </w:t>
      </w:r>
      <w:r>
        <w:t xml:space="preserve">/</w:t>
      </w:r>
      <w:r>
        <w:t xml:space="preserve"> </w:t>
      </w:r>
      <w:r>
        <w:rPr>
          <w:rStyle w:val="VerbatimChar"/>
        </w:rPr>
        <w:t xml:space="preserve">Passage</w:t>
      </w:r>
      <w:r>
        <w:t xml:space="preserve"> </w:t>
      </w:r>
      <w:r>
        <w:t xml:space="preserve">/</w:t>
      </w:r>
      <w:r>
        <w:t xml:space="preserve"> </w:t>
      </w:r>
      <w:r>
        <w:rPr>
          <w:rStyle w:val="VerbatimChar"/>
        </w:rPr>
        <w:t xml:space="preserve">CitationMention</w:t>
      </w:r>
      <w:r>
        <w:t xml:space="preserve"> </w:t>
      </w:r>
      <w:r>
        <w:t xml:space="preserve">carry offsets, verbatim text, and artifact hashes. Provenance-first is internally contradictory without it.</w:t>
      </w:r>
    </w:p>
    <w:p>
      <w:pPr>
        <w:pStyle w:val="Compact"/>
        <w:numPr>
          <w:ilvl w:val="0"/>
          <w:numId w:val="1003"/>
        </w:numPr>
      </w:pPr>
      <w:r>
        <w:rPr>
          <w:b/>
          <w:bCs/>
        </w:rPr>
        <w:t xml:space="preserve">Claims are split</w:t>
      </w:r>
      <w:r>
        <w:t xml:space="preserve"> </w:t>
      </w:r>
      <w:r>
        <w:t xml:space="preserve">into</w:t>
      </w:r>
      <w:r>
        <w:t xml:space="preserve"> </w:t>
      </w:r>
      <w:r>
        <w:rPr>
          <w:rStyle w:val="VerbatimChar"/>
        </w:rPr>
        <w:t xml:space="preserve">ClaimOccurrence</w:t>
      </w:r>
      <w:r>
        <w:t xml:space="preserve"> </w:t>
      </w:r>
      <w:r>
        <w:t xml:space="preserve">/</w:t>
      </w:r>
      <w:r>
        <w:t xml:space="preserve"> </w:t>
      </w:r>
      <w:r>
        <w:rPr>
          <w:rStyle w:val="VerbatimChar"/>
        </w:rPr>
        <w:t xml:space="preserve">ClaimInterpretation</w:t>
      </w:r>
      <w:r>
        <w:t xml:space="preserve"> </w:t>
      </w:r>
      <w:r>
        <w:t xml:space="preserve">/</w:t>
      </w:r>
      <w:r>
        <w:t xml:space="preserve"> </w:t>
      </w:r>
      <w:r>
        <w:rPr>
          <w:rStyle w:val="VerbatimChar"/>
        </w:rPr>
        <w:t xml:space="preserve">ClaimCluster</w:t>
      </w:r>
      <w:r>
        <w:t xml:space="preserve"> </w:t>
      </w:r>
      <w:r>
        <w:t xml:space="preserve">plus a revision graph, because occurrence, proposition, editable record, and dedup product have different lifecycles and must not be conflated.</w:t>
      </w:r>
    </w:p>
    <w:p>
      <w:pPr>
        <w:pStyle w:val="Compact"/>
        <w:numPr>
          <w:ilvl w:val="0"/>
          <w:numId w:val="1003"/>
        </w:numPr>
      </w:pPr>
      <w:r>
        <w:rPr>
          <w:b/>
          <w:bCs/>
        </w:rPr>
        <w:t xml:space="preserve">Relations are first-class evidence-bearing</w:t>
      </w:r>
      <w:r>
        <w:rPr>
          <w:b/>
          <w:bCs/>
        </w:rPr>
        <w:t xml:space="preserve"> </w:t>
      </w:r>
      <w:r>
        <w:rPr>
          <w:rStyle w:val="VerbatimChar"/>
          <w:b/>
          <w:bCs/>
        </w:rPr>
        <w:t xml:space="preserve">RelationAssertion</w:t>
      </w:r>
      <w:r>
        <w:rPr>
          <w:b/>
          <w:bCs/>
        </w:rPr>
        <w:t xml:space="preserve">s</w:t>
      </w:r>
      <w:r>
        <w:t xml:space="preserve">, with function / stance / scope / resolution as separate axes rather than a single</w:t>
      </w:r>
      <w:r>
        <w:t xml:space="preserve"> </w:t>
      </w:r>
      <w:r>
        <w:rPr>
          <w:rStyle w:val="VerbatimChar"/>
        </w:rPr>
        <w:t xml:space="preserve">mention/support/dissent</w:t>
      </w:r>
      <w:r>
        <w:t xml:space="preserve"> </w:t>
      </w:r>
      <w:r>
        <w:t xml:space="preserve">axis that mixes function with stance.</w:t>
      </w:r>
    </w:p>
    <w:p>
      <w:pPr>
        <w:pStyle w:val="Compact"/>
        <w:numPr>
          <w:ilvl w:val="0"/>
          <w:numId w:val="1003"/>
        </w:numPr>
      </w:pPr>
      <w:r>
        <w:rPr>
          <w:b/>
          <w:bCs/>
        </w:rPr>
        <w:t xml:space="preserve">Equivalence is soft clustering, not authoritative merging.</w:t>
      </w:r>
      <w:r>
        <w:t xml:space="preserve"> </w:t>
      </w:r>
      <w:r>
        <w:t xml:space="preserve">Reversibility bounds the duration of a bad merge’s damage, not its blast radius, so nothing is merged into a replacement node.</w:t>
      </w:r>
    </w:p>
    <w:p>
      <w:pPr>
        <w:pStyle w:val="Compact"/>
        <w:numPr>
          <w:ilvl w:val="0"/>
          <w:numId w:val="1003"/>
        </w:numPr>
      </w:pPr>
      <w:r>
        <w:rPr>
          <w:b/>
          <w:bCs/>
        </w:rPr>
        <w:t xml:space="preserve">Edit semantics use a revision graph</w:t>
      </w:r>
      <w:r>
        <w:t xml:space="preserve">, not a linked list; material revisions mark dependent assertions</w:t>
      </w:r>
      <w:r>
        <w:t xml:space="preserve"> </w:t>
      </w:r>
      <w:r>
        <w:rPr>
          <w:rStyle w:val="VerbatimChar"/>
        </w:rPr>
        <w:t xml:space="preserve">stale_pending_review</w:t>
      </w:r>
      <w:r>
        <w:t xml:space="preserve"> </w:t>
      </w:r>
      <w:r>
        <w:t xml:space="preserve">rather than silently inheriting support.</w:t>
      </w:r>
    </w:p>
    <w:p>
      <w:pPr>
        <w:pStyle w:val="Compact"/>
        <w:numPr>
          <w:ilvl w:val="0"/>
          <w:numId w:val="1003"/>
        </w:numPr>
      </w:pPr>
      <w:r>
        <w:rPr>
          <w:b/>
          <w:bCs/>
        </w:rPr>
        <w:t xml:space="preserve">Confidence signals stay decomposed</w:t>
      </w:r>
      <w:r>
        <w:t xml:space="preserve"> </w:t>
      </w:r>
      <w:r>
        <w:t xml:space="preserve">— no blended global score; model agreement and literature corroboration are different evidence; derived scores are versioned</w:t>
      </w:r>
      <w:r>
        <w:t xml:space="preserve"> </w:t>
      </w:r>
      <w:r>
        <w:rPr>
          <w:rStyle w:val="VerbatimChar"/>
        </w:rPr>
        <w:t xml:space="preserve">Assessment</w:t>
      </w:r>
      <w:r>
        <w:t xml:space="preserve"> </w:t>
      </w:r>
      <w:r>
        <w:t xml:space="preserve">records.</w:t>
      </w:r>
    </w:p>
    <w:p>
      <w:pPr>
        <w:pStyle w:val="Compact"/>
        <w:numPr>
          <w:ilvl w:val="0"/>
          <w:numId w:val="1003"/>
        </w:numPr>
      </w:pPr>
      <w:r>
        <w:rPr>
          <w:b/>
          <w:bCs/>
        </w:rPr>
        <w:t xml:space="preserve">SPECTER is used for paper-level candidate narrowing only</w:t>
      </w:r>
      <w:r>
        <w:t xml:space="preserve">; claim-level comparison uses sentence encoders plus a cross-encoder/entailment check.</w:t>
      </w:r>
    </w:p>
    <w:p>
      <w:pPr>
        <w:pStyle w:val="Compact"/>
        <w:numPr>
          <w:ilvl w:val="0"/>
          <w:numId w:val="1003"/>
        </w:numPr>
      </w:pPr>
      <w:r>
        <w:rPr>
          <w:b/>
          <w:bCs/>
        </w:rPr>
        <w:t xml:space="preserve">Evaluation is a first-class component</w:t>
      </w:r>
      <w:r>
        <w:t xml:space="preserve"> </w:t>
      </w:r>
      <w:r>
        <w:t xml:space="preserve">— adjudicated gold corpus, per-stage metrics, calibration/abstention reporting; S2 intent is weak supervision plus a baseline, not ground truth.</w:t>
      </w:r>
    </w:p>
    <w:p>
      <w:pPr>
        <w:pStyle w:val="Compact"/>
        <w:numPr>
          <w:ilvl w:val="0"/>
          <w:numId w:val="1003"/>
        </w:numPr>
      </w:pPr>
      <w:r>
        <w:rPr>
          <w:b/>
          <w:bCs/>
        </w:rPr>
        <w:t xml:space="preserve">The logical model is separated from the physical schema</w:t>
      </w:r>
      <w:r>
        <w:t xml:space="preserve"> </w:t>
      </w:r>
      <w:r>
        <w:t xml:space="preserve">— the rich model is the system of record; the graph is a derived, rebuildable, never-authoritative projection; the API abstracts the audit model away from end users.</w:t>
      </w:r>
    </w:p>
    <w:p>
      <w:pPr>
        <w:pStyle w:val="Compact"/>
        <w:numPr>
          <w:ilvl w:val="0"/>
          <w:numId w:val="1003"/>
        </w:numPr>
      </w:pPr>
      <w:r>
        <w:rPr>
          <w:b/>
          <w:bCs/>
        </w:rPr>
        <w:t xml:space="preserve">The MVP is a thin one-hop vertical slice</w:t>
      </w:r>
      <w:r>
        <w:t xml:space="preserve">; trust weighting, public scoring, multi-model production extraction, and deep traversal are deferred.</w:t>
      </w:r>
    </w:p>
    <w:p>
      <w:pPr>
        <w:pStyle w:val="Compact"/>
        <w:numPr>
          <w:ilvl w:val="0"/>
          <w:numId w:val="1003"/>
        </w:numPr>
      </w:pPr>
      <w:r>
        <w:rPr>
          <w:b/>
          <w:bCs/>
        </w:rPr>
        <w:t xml:space="preserve">Operational concerns are explicit</w:t>
      </w:r>
      <w:r>
        <w:t xml:space="preserve"> </w:t>
      </w:r>
      <w:r>
        <w:t xml:space="preserve">— paper availability states, reproducible slice definition, hydration retry/caching, ingestion security, tombstones/retention, and jobs/runs as first-class API resources.</w:t>
      </w:r>
    </w:p>
    <w:bookmarkEnd w:id="24"/>
    <w:bookmarkEnd w:id="25"/>
    <w:bookmarkStart w:id="44" w:name="interciter-logical-data-model"/>
    <w:p>
      <w:pPr>
        <w:pStyle w:val="Heading1"/>
      </w:pPr>
      <w:r>
        <w:t xml:space="preserve">2. InterCiter — Logical Data Model</w:t>
      </w:r>
    </w:p>
    <w:p>
      <w:pPr>
        <w:pStyle w:val="FirstParagraph"/>
      </w:pPr>
      <w:r>
        <w:t xml:space="preserve">This is the</w:t>
      </w:r>
      <w:r>
        <w:t xml:space="preserve"> </w:t>
      </w:r>
      <w:r>
        <w:rPr>
          <w:b/>
          <w:bCs/>
        </w:rPr>
        <w:t xml:space="preserve">logical</w:t>
      </w:r>
      <w:r>
        <w:t xml:space="preserve"> </w:t>
      </w:r>
      <w:r>
        <w:t xml:space="preserve">model: the immutable system of record. It is deliberately richer than what queries traverse — see</w:t>
      </w:r>
      <w:r>
        <w:t xml:space="preserve"> </w:t>
      </w:r>
      <w:hyperlink r:id="rId26">
        <w:r>
          <w:rPr>
            <w:rStyle w:val="Hyperlink"/>
          </w:rPr>
          <w:t xml:space="preserve">architecture.md</w:t>
        </w:r>
      </w:hyperlink>
      <w:r>
        <w:t xml:space="preserve"> </w:t>
      </w:r>
      <w:r>
        <w:t xml:space="preserve">for how it is projected into a flattened graph for reading. Do not implement this 1:1 as the graph schema.</w:t>
      </w:r>
    </w:p>
    <w:bookmarkStart w:id="27" w:name="X852c130125ed4605d30e8389049d8f1fec1548e"/>
    <w:p>
      <w:pPr>
        <w:pStyle w:val="Heading2"/>
      </w:pPr>
      <w:r>
        <w:t xml:space="preserve">2.1 Why claims are modeled as separate entities</w:t>
      </w:r>
    </w:p>
    <w:p>
      <w:pPr>
        <w:pStyle w:val="FirstParagraph"/>
      </w:pPr>
      <w:r>
        <w:t xml:space="preserve">A claim is split into distinct entities rather than one</w:t>
      </w:r>
      <w:r>
        <w:t xml:space="preserve"> </w:t>
      </w:r>
      <w:r>
        <w:rPr>
          <w:rStyle w:val="VerbatimChar"/>
        </w:rPr>
        <w:t xml:space="preserve">Claim</w:t>
      </w:r>
      <w:r>
        <w:t xml:space="preserve"> </w:t>
      </w:r>
      <w:r>
        <w:t xml:space="preserve">node, because a single node would have to act simultaneously as:</w:t>
      </w:r>
    </w:p>
    <w:p>
      <w:pPr>
        <w:pStyle w:val="Compact"/>
        <w:numPr>
          <w:ilvl w:val="0"/>
          <w:numId w:val="1004"/>
        </w:numPr>
      </w:pPr>
      <w:r>
        <w:t xml:space="preserve">an occurrence of text in a paper;</w:t>
      </w:r>
    </w:p>
    <w:p>
      <w:pPr>
        <w:pStyle w:val="Compact"/>
        <w:numPr>
          <w:ilvl w:val="0"/>
          <w:numId w:val="1004"/>
        </w:numPr>
      </w:pPr>
      <w:r>
        <w:t xml:space="preserve">a normalized proposition;</w:t>
      </w:r>
    </w:p>
    <w:p>
      <w:pPr>
        <w:pStyle w:val="Compact"/>
        <w:numPr>
          <w:ilvl w:val="0"/>
          <w:numId w:val="1004"/>
        </w:numPr>
      </w:pPr>
      <w:r>
        <w:t xml:space="preserve">an editable, versioned record;</w:t>
      </w:r>
    </w:p>
    <w:p>
      <w:pPr>
        <w:pStyle w:val="Compact"/>
        <w:numPr>
          <w:ilvl w:val="0"/>
          <w:numId w:val="1004"/>
        </w:numPr>
      </w:pPr>
      <w:r>
        <w:t xml:space="preserve">a canonical object produced by deduplication.</w:t>
      </w:r>
    </w:p>
    <w:p>
      <w:pPr>
        <w:pStyle w:val="FirstParagraph"/>
      </w:pPr>
      <w:r>
        <w:t xml:space="preserve">Those four roles have different identities and lifecycles. Collapsing them produces edit-chain ambiguity, edge-migration complexity on merge, and corroboration/model-agreement confusion in scoring, so the model keeps them separate. This is schema richness, not feature scope — most of these entities are plain relational tables behind a small feature set, and the MVP builds only the thin path through them.</w:t>
      </w:r>
    </w:p>
    <w:bookmarkEnd w:id="27"/>
    <w:bookmarkStart w:id="36" w:name="entity-catalog"/>
    <w:p>
      <w:pPr>
        <w:pStyle w:val="Heading2"/>
      </w:pPr>
      <w:r>
        <w:t xml:space="preserve">2.2 Entity catalog</w:t>
      </w:r>
    </w:p>
    <w:bookmarkStart w:id="28" w:name="bibliographic-layer"/>
    <w:p>
      <w:pPr>
        <w:pStyle w:val="Heading3"/>
      </w:pPr>
      <w:r>
        <w:t xml:space="preserve">2.2.1 Bibliographic layer</w:t>
      </w:r>
    </w:p>
    <w:p>
      <w:pPr>
        <w:pStyle w:val="SourceCode"/>
      </w:pPr>
      <w:r>
        <w:rPr>
          <w:rStyle w:val="VerbatimChar"/>
        </w:rPr>
        <w:t xml:space="preserve">PaperWork</w:t>
      </w:r>
      <w:r>
        <w:br/>
      </w:r>
      <w:r>
        <w:rPr>
          <w:rStyle w:val="VerbatimChar"/>
        </w:rPr>
        <w:t xml:space="preserve">  work_id</w:t>
      </w:r>
      <w:r>
        <w:br/>
      </w:r>
      <w:r>
        <w:rPr>
          <w:rStyle w:val="VerbatimChar"/>
        </w:rPr>
        <w:t xml:space="preserve">  canonical bibliographic identity (title, authors, venue, year)</w:t>
      </w:r>
      <w:r>
        <w:br/>
      </w:r>
      <w:r>
        <w:rPr>
          <w:rStyle w:val="VerbatimChar"/>
        </w:rPr>
        <w:t xml:space="preserve">  DOI / PMID / S2 corpusId mappings</w:t>
      </w:r>
      <w:r>
        <w:br/>
      </w:r>
      <w:r>
        <w:br/>
      </w:r>
      <w:r>
        <w:rPr>
          <w:rStyle w:val="VerbatimChar"/>
        </w:rPr>
        <w:t xml:space="preserve">PaperVersion</w:t>
      </w:r>
      <w:r>
        <w:br/>
      </w:r>
      <w:r>
        <w:rPr>
          <w:rStyle w:val="VerbatimChar"/>
        </w:rPr>
        <w:t xml:space="preserve">  version_id, work_id</w:t>
      </w:r>
      <w:r>
        <w:br/>
      </w:r>
      <w:r>
        <w:rPr>
          <w:rStyle w:val="VerbatimChar"/>
        </w:rPr>
        <w:t xml:space="preserve">  manifestation: preprint | published | correction | retraction-notice</w:t>
      </w:r>
      <w:r>
        <w:br/>
      </w:r>
      <w:r>
        <w:rPr>
          <w:rStyle w:val="VerbatimChar"/>
        </w:rPr>
        <w:t xml:space="preserve">  artifact_hash              (hash of the ingested file)</w:t>
      </w:r>
      <w:r>
        <w:br/>
      </w:r>
      <w:r>
        <w:rPr>
          <w:rStyle w:val="VerbatimChar"/>
        </w:rPr>
        <w:t xml:space="preserve">  full-text availability + license status   (see availability states in architecture.md)</w:t>
      </w:r>
      <w:r>
        <w:br/>
      </w:r>
      <w:r>
        <w:rPr>
          <w:rStyle w:val="VerbatimChar"/>
        </w:rPr>
        <w:t xml:space="preserve">  parser_name / parser_version / parse_status</w:t>
      </w:r>
      <w:r>
        <w:br/>
      </w:r>
      <w:r>
        <w:br/>
      </w:r>
      <w:r>
        <w:rPr>
          <w:rStyle w:val="VerbatimChar"/>
        </w:rPr>
        <w:t xml:space="preserve">Passage</w:t>
      </w:r>
      <w:r>
        <w:br/>
      </w:r>
      <w:r>
        <w:rPr>
          <w:rStyle w:val="VerbatimChar"/>
        </w:rPr>
        <w:t xml:space="preserve">  passage_id, paper_version_id</w:t>
      </w:r>
      <w:r>
        <w:br/>
      </w:r>
      <w:r>
        <w:rPr>
          <w:rStyle w:val="VerbatimChar"/>
        </w:rPr>
        <w:t xml:space="preserve">  section / page / paragraph / sentence locators (where available)</w:t>
      </w:r>
      <w:r>
        <w:br/>
      </w:r>
      <w:r>
        <w:rPr>
          <w:rStyle w:val="VerbatimChar"/>
        </w:rPr>
        <w:t xml:space="preserve">  normalized character offsets</w:t>
      </w:r>
      <w:r>
        <w:br/>
      </w:r>
      <w:r>
        <w:rPr>
          <w:rStyle w:val="VerbatimChar"/>
        </w:rPr>
        <w:t xml:space="preserve">  verbatim_text              (the exact source text — see anchoring note below)</w:t>
      </w:r>
      <w:r>
        <w:br/>
      </w:r>
      <w:r>
        <w:br/>
      </w:r>
      <w:r>
        <w:rPr>
          <w:rStyle w:val="VerbatimChar"/>
        </w:rPr>
        <w:t xml:space="preserve">CitationMention</w:t>
      </w:r>
      <w:r>
        <w:br/>
      </w:r>
      <w:r>
        <w:rPr>
          <w:rStyle w:val="VerbatimChar"/>
        </w:rPr>
        <w:t xml:space="preserve">  mention_id, passage_id</w:t>
      </w:r>
      <w:r>
        <w:br/>
      </w:r>
      <w:r>
        <w:rPr>
          <w:rStyle w:val="VerbatimChar"/>
        </w:rPr>
        <w:t xml:space="preserve">  marker span within the passage (e.g. "[12]", "(Smith 2019)")</w:t>
      </w:r>
      <w:r>
        <w:br/>
      </w:r>
      <w:r>
        <w:rPr>
          <w:rStyle w:val="VerbatimChar"/>
        </w:rPr>
        <w:t xml:space="preserve">  cited_work_id</w:t>
      </w:r>
      <w:r>
        <w:br/>
      </w:r>
      <w:r>
        <w:rPr>
          <w:rStyle w:val="VerbatimChar"/>
        </w:rPr>
        <w:t xml:space="preserve">  bibliographic_resolution_confidence</w:t>
      </w:r>
    </w:p>
    <w:p>
      <w:pPr>
        <w:pStyle w:val="FirstParagraph"/>
      </w:pPr>
      <w:r>
        <w:rPr>
          <w:rStyle w:val="VerbatimChar"/>
        </w:rPr>
        <w:t xml:space="preserve">PaperWork</w:t>
      </w:r>
      <w:r>
        <w:t xml:space="preserve"> </w:t>
      </w:r>
      <w:r>
        <w:t xml:space="preserve">vs</w:t>
      </w:r>
      <w:r>
        <w:t xml:space="preserve"> </w:t>
      </w:r>
      <w:r>
        <w:rPr>
          <w:rStyle w:val="VerbatimChar"/>
        </w:rPr>
        <w:t xml:space="preserve">PaperVersion</w:t>
      </w:r>
      <w:r>
        <w:t xml:space="preserve"> </w:t>
      </w:r>
      <w:r>
        <w:t xml:space="preserve">matters in biomedicine: effect directions can change between a preprint and the corrected journal version. Claims anchor to a</w:t>
      </w:r>
      <w:r>
        <w:t xml:space="preserve"> </w:t>
      </w:r>
      <w:r>
        <w:rPr>
          <w:i/>
          <w:iCs/>
        </w:rPr>
        <w:t xml:space="preserve">version</w:t>
      </w:r>
      <w:r>
        <w:t xml:space="preserve">, never just a work.</w:t>
      </w:r>
    </w:p>
    <w:p>
      <w:pPr>
        <w:pStyle w:val="BodyText"/>
      </w:pPr>
      <w:r>
        <w:rPr>
          <w:b/>
          <w:bCs/>
        </w:rPr>
        <w:t xml:space="preserve">Anchoring is layered, not offset-only.</w:t>
      </w:r>
      <w:r>
        <w:t xml:space="preserve"> </w:t>
      </w:r>
      <w:r>
        <w:t xml:space="preserve">Offsets are relative to a specific</w:t>
      </w:r>
      <w:r>
        <w:t xml:space="preserve"> </w:t>
      </w:r>
      <w:r>
        <w:rPr>
          <w:rStyle w:val="VerbatimChar"/>
        </w:rPr>
        <w:t xml:space="preserve">PaperVersion</w:t>
      </w:r>
      <w:r>
        <w:t xml:space="preserve"> </w:t>
      </w:r>
      <w:r>
        <w:t xml:space="preserve">with a recorded</w:t>
      </w:r>
      <w:r>
        <w:t xml:space="preserve"> </w:t>
      </w:r>
      <w:r>
        <w:rPr>
          <w:rStyle w:val="VerbatimChar"/>
        </w:rPr>
        <w:t xml:space="preserve">artifact_hash</w:t>
      </w:r>
      <w:r>
        <w:t xml:space="preserve"> </w:t>
      </w:r>
      <w:r>
        <w:t xml:space="preserve">and parser version — a re-parse or parser upgrade produces a</w:t>
      </w:r>
      <w:r>
        <w:t xml:space="preserve"> </w:t>
      </w:r>
      <w:r>
        <w:rPr>
          <w:i/>
          <w:iCs/>
        </w:rPr>
        <w:t xml:space="preserve">new</w:t>
      </w:r>
      <w:r>
        <w:t xml:space="preserve"> </w:t>
      </w:r>
      <w:r>
        <w:rPr>
          <w:rStyle w:val="VerbatimChar"/>
        </w:rPr>
        <w:t xml:space="preserve">PaperVersion</w:t>
      </w:r>
      <w:r>
        <w:t xml:space="preserve"> </w:t>
      </w:r>
      <w:r>
        <w:t xml:space="preserve">rather than silently shifting old offsets. The stored</w:t>
      </w:r>
      <w:r>
        <w:t xml:space="preserve"> </w:t>
      </w:r>
      <w:r>
        <w:rPr>
          <w:rStyle w:val="VerbatimChar"/>
        </w:rPr>
        <w:t xml:space="preserve">verbatim_text</w:t>
      </w:r>
      <w:r>
        <w:t xml:space="preserve"> </w:t>
      </w:r>
      <w:r>
        <w:t xml:space="preserve">provides a second, parser-independent anchor that allows fuzzy re-anchoring of old passages onto new versions. This addresses the parser-brittleness concern without giving up exact evidence.</w:t>
      </w:r>
    </w:p>
    <w:bookmarkEnd w:id="28"/>
    <w:bookmarkStart w:id="29" w:name="extraction-layer"/>
    <w:p>
      <w:pPr>
        <w:pStyle w:val="Heading3"/>
      </w:pPr>
      <w:r>
        <w:t xml:space="preserve">2.2.2 Extraction layer</w:t>
      </w:r>
    </w:p>
    <w:p>
      <w:pPr>
        <w:pStyle w:val="SourceCode"/>
      </w:pPr>
      <w:r>
        <w:rPr>
          <w:rStyle w:val="VerbatimChar"/>
        </w:rPr>
        <w:t xml:space="preserve">ExtractionRun</w:t>
      </w:r>
      <w:r>
        <w:br/>
      </w:r>
      <w:r>
        <w:rPr>
          <w:rStyle w:val="VerbatimChar"/>
        </w:rPr>
        <w:t xml:space="preserve">  run_id</w:t>
      </w:r>
      <w:r>
        <w:br/>
      </w:r>
      <w:r>
        <w:rPr>
          <w:rStyle w:val="VerbatimChar"/>
        </w:rPr>
        <w:t xml:space="preserve">  model / provider / model_version</w:t>
      </w:r>
      <w:r>
        <w:br/>
      </w:r>
      <w:r>
        <w:rPr>
          <w:rStyle w:val="VerbatimChar"/>
        </w:rPr>
        <w:t xml:space="preserve">  prompt_template_version</w:t>
      </w:r>
      <w:r>
        <w:br/>
      </w:r>
      <w:r>
        <w:rPr>
          <w:rStyle w:val="VerbatimChar"/>
        </w:rPr>
        <w:t xml:space="preserve">  parser_version, code_revision</w:t>
      </w:r>
      <w:r>
        <w:br/>
      </w:r>
      <w:r>
        <w:rPr>
          <w:rStyle w:val="VerbatimChar"/>
        </w:rPr>
        <w:t xml:space="preserve">  inference parameters</w:t>
      </w:r>
      <w:r>
        <w:br/>
      </w:r>
      <w:r>
        <w:rPr>
          <w:rStyle w:val="VerbatimChar"/>
        </w:rPr>
        <w:t xml:space="preserve">  timestamp</w:t>
      </w:r>
      <w:r>
        <w:br/>
      </w:r>
      <w:r>
        <w:br/>
      </w:r>
      <w:r>
        <w:rPr>
          <w:rStyle w:val="VerbatimChar"/>
        </w:rPr>
        <w:t xml:space="preserve">ClaimOccurrence</w:t>
      </w:r>
      <w:r>
        <w:br/>
      </w:r>
      <w:r>
        <w:rPr>
          <w:rStyle w:val="VerbatimChar"/>
        </w:rPr>
        <w:t xml:space="preserve">  occurrence_id, passage_id</w:t>
      </w:r>
      <w:r>
        <w:br/>
      </w:r>
      <w:r>
        <w:rPr>
          <w:rStyle w:val="VerbatimChar"/>
        </w:rPr>
        <w:t xml:space="preserve">  exact source span within the passage</w:t>
      </w:r>
      <w:r>
        <w:br/>
      </w:r>
      <w:r>
        <w:rPr>
          <w:rStyle w:val="VerbatimChar"/>
        </w:rPr>
        <w:t xml:space="preserve">  occurrence_type (e.g. reported-result, background-assertion)</w:t>
      </w:r>
      <w:r>
        <w:br/>
      </w:r>
      <w:r>
        <w:rPr>
          <w:rStyle w:val="VerbatimChar"/>
        </w:rPr>
        <w:t xml:space="preserve">  extraction_run_id</w:t>
      </w:r>
      <w:r>
        <w:br/>
      </w:r>
      <w:r>
        <w:br/>
      </w:r>
      <w:r>
        <w:rPr>
          <w:rStyle w:val="VerbatimChar"/>
        </w:rPr>
        <w:t xml:space="preserve">ClaimInterpretation</w:t>
      </w:r>
      <w:r>
        <w:br/>
      </w:r>
      <w:r>
        <w:rPr>
          <w:rStyle w:val="VerbatimChar"/>
        </w:rPr>
        <w:t xml:space="preserve">  interpretation_id</w:t>
      </w:r>
      <w:r>
        <w:br/>
      </w:r>
      <w:r>
        <w:rPr>
          <w:rStyle w:val="VerbatimChar"/>
        </w:rPr>
        <w:t xml:space="preserve">  claim_occurrence_id</w:t>
      </w:r>
      <w:r>
        <w:br/>
      </w:r>
      <w:r>
        <w:rPr>
          <w:rStyle w:val="VerbatimChar"/>
        </w:rPr>
        <w:t xml:space="preserve">  normalized_text            (the proposition, as normalized)</w:t>
      </w:r>
      <w:r>
        <w:br/>
      </w:r>
      <w:r>
        <w:rPr>
          <w:rStyle w:val="VerbatimChar"/>
        </w:rPr>
        <w:t xml:space="preserve">  structured qualifiers      (population, intervention/exposure, comparator,</w:t>
      </w:r>
      <w:r>
        <w:br/>
      </w:r>
      <w:r>
        <w:rPr>
          <w:rStyle w:val="VerbatimChar"/>
        </w:rPr>
        <w:t xml:space="preserve">                              outcome, dosage, time horizon, effect direction,</w:t>
      </w:r>
      <w:r>
        <w:br/>
      </w:r>
      <w:r>
        <w:rPr>
          <w:rStyle w:val="VerbatimChar"/>
        </w:rPr>
        <w:t xml:space="preserve">                              effect size, hedging/certainty, negation)</w:t>
      </w:r>
      <w:r>
        <w:br/>
      </w:r>
      <w:r>
        <w:rPr>
          <w:rStyle w:val="VerbatimChar"/>
        </w:rPr>
        <w:t xml:space="preserve">  extraction_run_id — or — human author_id</w:t>
      </w:r>
      <w:r>
        <w:br/>
      </w:r>
      <w:r>
        <w:rPr>
          <w:rStyle w:val="VerbatimChar"/>
        </w:rPr>
        <w:t xml:space="preserve">  parent_interpretation_ids  (revision graph, see below)</w:t>
      </w:r>
      <w:r>
        <w:br/>
      </w:r>
      <w:r>
        <w:rPr>
          <w:rStyle w:val="VerbatimChar"/>
        </w:rPr>
        <w:t xml:space="preserve">  created_by / created_at</w:t>
      </w:r>
    </w:p>
    <w:p>
      <w:pPr>
        <w:pStyle w:val="FirstParagraph"/>
      </w:pPr>
      <w:r>
        <w:t xml:space="preserve">The occurrence/interpretation split is the core defensive move:</w:t>
      </w:r>
      <w:r>
        <w:t xml:space="preserve"> </w:t>
      </w:r>
      <w:r>
        <w:rPr>
          <w:rStyle w:val="VerbatimChar"/>
        </w:rPr>
        <w:t xml:space="preserve">ClaimOccurrence</w:t>
      </w:r>
      <w:r>
        <w:t xml:space="preserve"> </w:t>
      </w:r>
      <w:r>
        <w:t xml:space="preserve">is what the paper</w:t>
      </w:r>
      <w:r>
        <w:t xml:space="preserve"> </w:t>
      </w:r>
      <w:r>
        <w:rPr>
          <w:i/>
          <w:iCs/>
        </w:rPr>
        <w:t xml:space="preserve">says</w:t>
      </w:r>
      <w:r>
        <w:t xml:space="preserve"> </w:t>
      </w:r>
      <w:r>
        <w:t xml:space="preserve">(source-bound, verifiable),</w:t>
      </w:r>
      <w:r>
        <w:t xml:space="preserve"> </w:t>
      </w:r>
      <w:r>
        <w:rPr>
          <w:rStyle w:val="VerbatimChar"/>
        </w:rPr>
        <w:t xml:space="preserve">ClaimInterpretation</w:t>
      </w:r>
      <w:r>
        <w:t xml:space="preserve"> </w:t>
      </w:r>
      <w:r>
        <w:t xml:space="preserve">is what a model or human</w:t>
      </w:r>
      <w:r>
        <w:t xml:space="preserve"> </w:t>
      </w:r>
      <w:r>
        <w:rPr>
          <w:i/>
          <w:iCs/>
        </w:rPr>
        <w:t xml:space="preserve">thinks it means</w:t>
      </w:r>
      <w:r>
        <w:t xml:space="preserve">. A bad normalization can never overwrite the ground truth, and multiple models (or a human) can attach competing interpretations to the same occurrence.</w:t>
      </w:r>
    </w:p>
    <w:bookmarkEnd w:id="29"/>
    <w:bookmarkStart w:id="30" w:name="revision-semantics"/>
    <w:p>
      <w:pPr>
        <w:pStyle w:val="Heading3"/>
      </w:pPr>
      <w:r>
        <w:t xml:space="preserve">2.2.3 Revision semantics</w:t>
      </w:r>
    </w:p>
    <w:p>
      <w:pPr>
        <w:pStyle w:val="FirstParagraph"/>
      </w:pPr>
      <w:r>
        <w:t xml:space="preserve">Revisions form a</w:t>
      </w:r>
      <w:r>
        <w:t xml:space="preserve"> </w:t>
      </w:r>
      <w:r>
        <w:rPr>
          <w:b/>
          <w:bCs/>
        </w:rPr>
        <w:t xml:space="preserve">graph via</w:t>
      </w:r>
      <w:r>
        <w:rPr>
          <w:b/>
          <w:bCs/>
        </w:rPr>
        <w:t xml:space="preserve"> </w:t>
      </w:r>
      <w:r>
        <w:rPr>
          <w:rStyle w:val="VerbatimChar"/>
          <w:b/>
          <w:bCs/>
        </w:rPr>
        <w:t xml:space="preserve">parent_interpretation_ids</w:t>
      </w:r>
      <w:r>
        <w:t xml:space="preserve">, not a</w:t>
      </w:r>
      <w:r>
        <w:t xml:space="preserve"> </w:t>
      </w:r>
      <w:r>
        <w:rPr>
          <w:rStyle w:val="VerbatimChar"/>
        </w:rPr>
        <w:t xml:space="preserve">superseded_by</w:t>
      </w:r>
      <w:r>
        <w:t xml:space="preserve"> </w:t>
      </w:r>
      <w:r>
        <w:t xml:space="preserve">linked list — the linked list could not represent concurrent edits, branches, or reconciliation.</w:t>
      </w:r>
      <w:r>
        <w:t xml:space="preserve"> </w:t>
      </w:r>
      <w:r>
        <w:t xml:space="preserve">“Current head”</w:t>
      </w:r>
      <w:r>
        <w:t xml:space="preserve"> </w:t>
      </w:r>
      <w:r>
        <w:t xml:space="preserve">is</w:t>
      </w:r>
      <w:r>
        <w:t xml:space="preserve"> </w:t>
      </w:r>
      <w:r>
        <w:rPr>
          <w:i/>
          <w:iCs/>
        </w:rPr>
        <w:t xml:space="preserve">derived</w:t>
      </w:r>
      <w:r>
        <w:t xml:space="preserve"> </w:t>
      </w:r>
      <w:r>
        <w:t xml:space="preserve">(computed at read time or materialized in the projection), never a mutable flag on the record.</w:t>
      </w:r>
    </w:p>
    <w:p>
      <w:pPr>
        <w:pStyle w:val="BodyText"/>
      </w:pPr>
      <w:r>
        <w:t xml:space="preserve">The critical rule:</w:t>
      </w:r>
      <w:r>
        <w:t xml:space="preserve"> </w:t>
      </w:r>
      <w:r>
        <w:rPr>
          <w:b/>
          <w:bCs/>
        </w:rPr>
        <w:t xml:space="preserve">relation assertions never silently transfer across a material revision.</w:t>
      </w:r>
      <w:r>
        <w:t xml:space="preserve"> </w:t>
      </w:r>
      <w:r>
        <w:t xml:space="preserve">If</w:t>
      </w:r>
      <w:r>
        <w:t xml:space="preserve"> </w:t>
      </w:r>
      <w:r>
        <w:t xml:space="preserve">“Treatment A reduces mortality”</w:t>
      </w:r>
      <w:r>
        <w:t xml:space="preserve"> </w:t>
      </w:r>
      <w:r>
        <w:t xml:space="preserve">is revised to</w:t>
      </w:r>
      <w:r>
        <w:t xml:space="preserve"> </w:t>
      </w:r>
      <w:r>
        <w:t xml:space="preserve">“Treatment A does not reduce mortality,”</w:t>
      </w:r>
      <w:r>
        <w:t xml:space="preserve"> </w:t>
      </w:r>
      <w:r>
        <w:t xml:space="preserve">the old support assertions must not appear as support for the new text. When a materially different revision becomes current, existing</w:t>
      </w:r>
      <w:r>
        <w:t xml:space="preserve"> </w:t>
      </w:r>
      <w:r>
        <w:rPr>
          <w:rStyle w:val="VerbatimChar"/>
        </w:rPr>
        <w:t xml:space="preserve">RelationAssertion</w:t>
      </w:r>
      <w:r>
        <w:t xml:space="preserve">s against the old interpretation are marked</w:t>
      </w:r>
      <w:r>
        <w:t xml:space="preserve"> </w:t>
      </w:r>
      <w:r>
        <w:rPr>
          <w:rStyle w:val="VerbatimChar"/>
        </w:rPr>
        <w:t xml:space="preserve">stale_pending_review</w:t>
      </w:r>
      <w:r>
        <w:t xml:space="preserve">. Reads may display inherited historical relationships, but always labeled with the exact version they were evaluated against.</w:t>
      </w:r>
    </w:p>
    <w:p>
      <w:pPr>
        <w:pStyle w:val="BodyText"/>
      </w:pPr>
      <w:r>
        <w:t xml:space="preserve">Revisions are created only by the interpretation’s original author or a</w:t>
      </w:r>
      <w:r>
        <w:t xml:space="preserve"> </w:t>
      </w:r>
      <w:r>
        <w:rPr>
          <w:rStyle w:val="VerbatimChar"/>
        </w:rPr>
        <w:t xml:space="preserve">reviewer</w:t>
      </w:r>
      <w:r>
        <w:t xml:space="preserve">/</w:t>
      </w:r>
      <w:r>
        <w:rPr>
          <w:rStyle w:val="VerbatimChar"/>
        </w:rPr>
        <w:t xml:space="preserve">admin</w:t>
      </w:r>
      <w:r>
        <w:t xml:space="preserve"> </w:t>
      </w:r>
      <w:r>
        <w:t xml:space="preserve">— an edit is a correction claim about someone else’s work and is gated accordingly.</w:t>
      </w:r>
    </w:p>
    <w:bookmarkEnd w:id="30"/>
    <w:bookmarkStart w:id="33" w:name="Xdac6357e61606309a5fad0339070eef9f3d4077"/>
    <w:p>
      <w:pPr>
        <w:pStyle w:val="Heading3"/>
      </w:pPr>
      <w:r>
        <w:t xml:space="preserve">2.2.4 Equivalence layer — soft clustering, not merging</w:t>
      </w:r>
    </w:p>
    <w:p>
      <w:pPr>
        <w:pStyle w:val="SourceCode"/>
      </w:pPr>
      <w:r>
        <w:rPr>
          <w:rStyle w:val="VerbatimChar"/>
        </w:rPr>
        <w:t xml:space="preserve">ClaimCluster</w:t>
      </w:r>
      <w:r>
        <w:br/>
      </w:r>
      <w:r>
        <w:rPr>
          <w:rStyle w:val="VerbatimChar"/>
        </w:rPr>
        <w:t xml:space="preserve">  cluster_id</w:t>
      </w:r>
      <w:r>
        <w:br/>
      </w:r>
      <w:r>
        <w:rPr>
          <w:rStyle w:val="VerbatimChar"/>
        </w:rPr>
        <w:t xml:space="preserve">  clustering method + threshold version</w:t>
      </w:r>
      <w:r>
        <w:br/>
      </w:r>
      <w:r>
        <w:br/>
      </w:r>
      <w:r>
        <w:rPr>
          <w:rStyle w:val="VerbatimChar"/>
        </w:rPr>
        <w:t xml:space="preserve">ClusterMembership</w:t>
      </w:r>
      <w:r>
        <w:br/>
      </w:r>
      <w:r>
        <w:rPr>
          <w:rStyle w:val="VerbatimChar"/>
        </w:rPr>
        <w:t xml:space="preserve">  cluster_id, interpretation_id</w:t>
      </w:r>
      <w:r>
        <w:br/>
      </w:r>
      <w:r>
        <w:rPr>
          <w:rStyle w:val="VerbatimChar"/>
        </w:rPr>
        <w:t xml:space="preserve">  method: automated | human</w:t>
      </w:r>
      <w:r>
        <w:br/>
      </w:r>
      <w:r>
        <w:rPr>
          <w:rStyle w:val="VerbatimChar"/>
        </w:rPr>
        <w:t xml:space="preserve">  membership_confidence</w:t>
      </w:r>
      <w:r>
        <w:br/>
      </w:r>
      <w:r>
        <w:rPr>
          <w:rStyle w:val="VerbatimChar"/>
        </w:rPr>
        <w:t xml:space="preserve">  status: active | removed</w:t>
      </w:r>
      <w:r>
        <w:br/>
      </w:r>
      <w:r>
        <w:rPr>
          <w:rStyle w:val="VerbatimChar"/>
        </w:rPr>
        <w:t xml:space="preserve">  added_by / removed_by / timestamps</w:t>
      </w:r>
    </w:p>
    <w:p>
      <w:pPr>
        <w:pStyle w:val="FirstParagraph"/>
      </w:pPr>
      <w:r>
        <w:t xml:space="preserve">Equivalence uses soft clustering, never an authoritative</w:t>
      </w:r>
      <w:r>
        <w:t xml:space="preserve"> </w:t>
      </w:r>
      <w:r>
        <w:rPr>
          <w:rStyle w:val="VerbatimChar"/>
        </w:rPr>
        <w:t xml:space="preserve">MergeEvent</w:t>
      </w:r>
      <w:r>
        <w:t xml:space="preserve"> </w:t>
      </w:r>
      <w:r>
        <w:t xml:space="preserve">with edge copying. Reversibility bounds the</w:t>
      </w:r>
      <w:r>
        <w:t xml:space="preserve"> </w:t>
      </w:r>
      <w:r>
        <w:rPr>
          <w:i/>
          <w:iCs/>
        </w:rPr>
        <w:t xml:space="preserve">duration</w:t>
      </w:r>
      <w:r>
        <w:t xml:space="preserve"> </w:t>
      </w:r>
      <w:r>
        <w:t xml:space="preserve">of a bad merge’s damage, not its blast radius — during the window before revert it still pollutes search, inflates confidence, and feeds downstream automated decisions. Instead:</w:t>
      </w:r>
    </w:p>
    <w:p>
      <w:pPr>
        <w:pStyle w:val="Compact"/>
        <w:numPr>
          <w:ilvl w:val="0"/>
          <w:numId w:val="1005"/>
        </w:numPr>
      </w:pPr>
      <w:r>
        <w:t xml:space="preserve">A cluster is a</w:t>
      </w:r>
      <w:r>
        <w:t xml:space="preserve"> </w:t>
      </w:r>
      <w:r>
        <w:rPr>
          <w:i/>
          <w:iCs/>
        </w:rPr>
        <w:t xml:space="preserve">statement of probable semantic equivalence</w:t>
      </w:r>
      <w:r>
        <w:t xml:space="preserve">, never a replacement node. All originals remain first-class.</w:t>
      </w:r>
    </w:p>
    <w:p>
      <w:pPr>
        <w:pStyle w:val="Compact"/>
        <w:numPr>
          <w:ilvl w:val="0"/>
          <w:numId w:val="1005"/>
        </w:numPr>
      </w:pPr>
      <w:r>
        <w:rPr>
          <w:b/>
          <w:bCs/>
        </w:rPr>
        <w:t xml:space="preserve">No edge copying.</w:t>
      </w:r>
      <w:r>
        <w:t xml:space="preserve"> </w:t>
      </w:r>
      <w:r>
        <w:t xml:space="preserve">Queries resolve cluster membership at read time or via the rebuildable projection; reverting a bad grouping is just removing a membership row.</w:t>
      </w:r>
    </w:p>
    <w:p>
      <w:pPr>
        <w:pStyle w:val="Compact"/>
        <w:numPr>
          <w:ilvl w:val="0"/>
          <w:numId w:val="1005"/>
        </w:numPr>
      </w:pPr>
      <w:r>
        <w:t xml:space="preserve">Equivalence is</w:t>
      </w:r>
      <w:r>
        <w:t xml:space="preserve"> </w:t>
      </w:r>
      <w:r>
        <w:rPr>
          <w:b/>
          <w:bCs/>
        </w:rPr>
        <w:t xml:space="preserve">not embedding distance alone</w:t>
      </w:r>
      <w:r>
        <w:t xml:space="preserve">.</w:t>
      </w:r>
      <w:r>
        <w:t xml:space="preserve"> </w:t>
      </w:r>
      <w:r>
        <w:t xml:space="preserve">“Drug X lowers blood pressure”</w:t>
      </w:r>
      <w:r>
        <w:t xml:space="preserve"> </w:t>
      </w:r>
      <w:r>
        <w:t xml:space="preserve">and</w:t>
      </w:r>
      <w:r>
        <w:t xml:space="preserve"> </w:t>
      </w:r>
      <w:r>
        <w:t xml:space="preserve">“Drug X does not lower blood pressure in older adults”</w:t>
      </w:r>
      <w:r>
        <w:t xml:space="preserve"> </w:t>
      </w:r>
      <w:r>
        <w:t xml:space="preserve">sit close in embedding space while being scientifically incompatible. Candidate pairs come from embeddings (paper-level embeddings narrow</w:t>
      </w:r>
      <w:r>
        <w:t xml:space="preserve"> </w:t>
      </w:r>
      <w:r>
        <w:rPr>
          <w:i/>
          <w:iCs/>
        </w:rPr>
        <w:t xml:space="preserve">which papers</w:t>
      </w:r>
      <w:r>
        <w:t xml:space="preserve"> </w:t>
      </w:r>
      <w:r>
        <w:t xml:space="preserve">to compare; claim-level comparison uses a sentence/claim encoder — see architecture.md), but membership requires a cross-encoder / entailment check plus compatibility of structured qualifiers (negation, population, direction of effect, etc.).</w:t>
      </w:r>
    </w:p>
    <w:p>
      <w:pPr>
        <w:pStyle w:val="Compact"/>
        <w:numPr>
          <w:ilvl w:val="0"/>
          <w:numId w:val="1005"/>
        </w:numPr>
      </w:pPr>
      <w:r>
        <w:t xml:space="preserve">Threshold policy for the MVP:</w:t>
      </w:r>
      <w:r>
        <w:t xml:space="preserve"> </w:t>
      </w:r>
      <w:r>
        <w:rPr>
          <w:b/>
          <w:bCs/>
        </w:rPr>
        <w:t xml:space="preserve">prefer fragmentation over pollution.</w:t>
      </w:r>
      <w:r>
        <w:t xml:space="preserve"> </w:t>
      </w:r>
      <w:r>
        <w:t xml:space="preserve">Clusters are additive and can grow later; a polluted cluster misleads immediately. Uncertain pairs simply stay unclustered (abstention is a first-class outcome). Thresholds are set and validated against the gold evaluation set (</w:t>
      </w:r>
      <w:hyperlink r:id="rId31">
        <w:r>
          <w:rPr>
            <w:rStyle w:val="Hyperlink"/>
          </w:rPr>
          <w:t xml:space="preserve">evaluation.md</w:t>
        </w:r>
      </w:hyperlink>
      <w:r>
        <w:t xml:space="preserve">).</w:t>
      </w:r>
    </w:p>
    <w:p>
      <w:pPr>
        <w:pStyle w:val="FirstParagraph"/>
      </w:pPr>
      <w:r>
        <w:rPr>
          <w:b/>
          <w:bCs/>
        </w:rPr>
        <w:t xml:space="preserve">Corroboration vs model agreement</w:t>
      </w:r>
      <w:r>
        <w:t xml:space="preserve"> </w:t>
      </w:r>
      <w:r>
        <w:t xml:space="preserve">— the two must never be conflated:</w:t>
      </w:r>
    </w:p>
    <w:p>
      <w:pPr>
        <w:pStyle w:val="BlockText"/>
      </w:pPr>
      <w:r>
        <w:t xml:space="preserve">Multiple interpretations of the</w:t>
      </w:r>
      <w:r>
        <w:t xml:space="preserve"> </w:t>
      </w:r>
      <w:r>
        <w:rPr>
          <w:i/>
          <w:iCs/>
        </w:rPr>
        <w:t xml:space="preserve">same occurrence</w:t>
      </w:r>
      <w:r>
        <w:t xml:space="preserve"> </w:t>
      </w:r>
      <w:r>
        <w:t xml:space="preserve">agreeing is</w:t>
      </w:r>
      <w:r>
        <w:t xml:space="preserve"> </w:t>
      </w:r>
      <w:r>
        <w:rPr>
          <w:b/>
          <w:bCs/>
        </w:rPr>
        <w:t xml:space="preserve">model agreement</w:t>
      </w:r>
      <w:r>
        <w:t xml:space="preserve"> </w:t>
      </w:r>
      <w:r>
        <w:t xml:space="preserve">(models may share training data and correlated errors). Distinct occurrences from</w:t>
      </w:r>
      <w:r>
        <w:t xml:space="preserve"> </w:t>
      </w:r>
      <w:r>
        <w:rPr>
          <w:i/>
          <w:iCs/>
        </w:rPr>
        <w:t xml:space="preserve">independent papers</w:t>
      </w:r>
      <w:r>
        <w:t xml:space="preserve"> </w:t>
      </w:r>
      <w:r>
        <w:t xml:space="preserve">landing in one cluster is</w:t>
      </w:r>
      <w:r>
        <w:t xml:space="preserve"> </w:t>
      </w:r>
      <w:r>
        <w:rPr>
          <w:b/>
          <w:bCs/>
        </w:rPr>
        <w:t xml:space="preserve">literature corroboration</w:t>
      </w:r>
      <w:r>
        <w:t xml:space="preserve">. They are counted as separate signals (</w:t>
      </w:r>
      <w:hyperlink r:id="rId32">
        <w:r>
          <w:rPr>
            <w:rStyle w:val="Hyperlink"/>
          </w:rPr>
          <w:t xml:space="preserve">scoring-and-review.md</w:t>
        </w:r>
      </w:hyperlink>
      <w:r>
        <w:t xml:space="preserve">).</w:t>
      </w:r>
    </w:p>
    <w:bookmarkEnd w:id="33"/>
    <w:bookmarkStart w:id="34" w:name="Xf33710f90c44d40a927225f33b767251a1b8a55"/>
    <w:p>
      <w:pPr>
        <w:pStyle w:val="Heading3"/>
      </w:pPr>
      <w:r>
        <w:t xml:space="preserve">2.2.5 Relationship layer — first-class assertions</w:t>
      </w:r>
    </w:p>
    <w:p>
      <w:pPr>
        <w:pStyle w:val="FirstParagraph"/>
      </w:pPr>
      <w:r>
        <w:t xml:space="preserve">A relationship is an evidence-bearing</w:t>
      </w:r>
      <w:r>
        <w:t xml:space="preserve"> </w:t>
      </w:r>
      <w:r>
        <w:rPr>
          <w:b/>
          <w:bCs/>
        </w:rPr>
        <w:t xml:space="preserve">record</w:t>
      </w:r>
      <w:r>
        <w:t xml:space="preserve">, not a lightweight edge:</w:t>
      </w:r>
    </w:p>
    <w:p>
      <w:pPr>
        <w:pStyle w:val="SourceCode"/>
      </w:pPr>
      <w:r>
        <w:rPr>
          <w:rStyle w:val="VerbatimChar"/>
        </w:rPr>
        <w:t xml:space="preserve">RelationAssertion</w:t>
      </w:r>
      <w:r>
        <w:br/>
      </w:r>
      <w:r>
        <w:rPr>
          <w:rStyle w:val="VerbatimChar"/>
        </w:rPr>
        <w:t xml:space="preserve">  assertion_id</w:t>
      </w:r>
      <w:r>
        <w:br/>
      </w:r>
      <w:r>
        <w:rPr>
          <w:rStyle w:val="VerbatimChar"/>
        </w:rPr>
        <w:t xml:space="preserve">  citing_occurrence_id        (the local claim making the citation)</w:t>
      </w:r>
      <w:r>
        <w:br/>
      </w:r>
      <w:r>
        <w:rPr>
          <w:rStyle w:val="VerbatimChar"/>
        </w:rPr>
        <w:t xml:space="preserve">  citation_mention_id         (the marker that licenses the relation)</w:t>
      </w:r>
      <w:r>
        <w:br/>
      </w:r>
      <w:r>
        <w:rPr>
          <w:rStyle w:val="VerbatimChar"/>
        </w:rPr>
        <w:t xml:space="preserve">  evidence_passage_id         (exact context)</w:t>
      </w:r>
      <w:r>
        <w:br/>
      </w:r>
      <w:r>
        <w:rPr>
          <w:rStyle w:val="VerbatimChar"/>
        </w:rPr>
        <w:t xml:space="preserve">  cited_work_id</w:t>
      </w:r>
      <w:r>
        <w:br/>
      </w:r>
      <w:r>
        <w:rPr>
          <w:rStyle w:val="VerbatimChar"/>
        </w:rPr>
        <w:t xml:space="preserve">  target_interpretation_id    (nullable — resolved target claim)</w:t>
      </w:r>
      <w:r>
        <w:br/>
      </w:r>
      <w:r>
        <w:rPr>
          <w:rStyle w:val="VerbatimChar"/>
        </w:rPr>
        <w:t xml:space="preserve">  target_candidates           (ranked candidates + scores when unresolved)</w:t>
      </w:r>
      <w:r>
        <w:br/>
      </w:r>
      <w:r>
        <w:rPr>
          <w:rStyle w:val="VerbatimChar"/>
        </w:rPr>
        <w:t xml:space="preserve">  function:   background | method | direct-evidence | comparison | other</w:t>
      </w:r>
      <w:r>
        <w:br/>
      </w:r>
      <w:r>
        <w:rPr>
          <w:rStyle w:val="VerbatimChar"/>
        </w:rPr>
        <w:t xml:space="preserve">  stance:     support | contradict | neutral | unclear</w:t>
      </w:r>
      <w:r>
        <w:br/>
      </w:r>
      <w:r>
        <w:rPr>
          <w:rStyle w:val="VerbatimChar"/>
        </w:rPr>
        <w:t xml:space="preserve">  scope:      whole-claim | partial-claim | paper-level-only</w:t>
      </w:r>
      <w:r>
        <w:br/>
      </w:r>
      <w:r>
        <w:rPr>
          <w:rStyle w:val="VerbatimChar"/>
        </w:rPr>
        <w:t xml:space="preserve">  resolution: claim_resolved | paper_resolved | unresolved</w:t>
      </w:r>
      <w:r>
        <w:br/>
      </w:r>
      <w:r>
        <w:rPr>
          <w:rStyle w:val="VerbatimChar"/>
        </w:rPr>
        <w:t xml:space="preserve">  target_link_score           (separate from stance confidence)</w:t>
      </w:r>
      <w:r>
        <w:br/>
      </w:r>
      <w:r>
        <w:rPr>
          <w:rStyle w:val="VerbatimChar"/>
        </w:rPr>
        <w:t xml:space="preserve">  stance_distribution         (full label-probability distribution)</w:t>
      </w:r>
      <w:r>
        <w:br/>
      </w:r>
      <w:r>
        <w:rPr>
          <w:rStyle w:val="VerbatimChar"/>
        </w:rPr>
        <w:t xml:space="preserve">  extraction_run_id</w:t>
      </w:r>
      <w:r>
        <w:br/>
      </w:r>
      <w:r>
        <w:rPr>
          <w:rStyle w:val="VerbatimChar"/>
        </w:rPr>
        <w:t xml:space="preserve">  status: proposed | accepted | rejected | unresolved | stale_pending_review</w:t>
      </w:r>
    </w:p>
    <w:p>
      <w:pPr>
        <w:pStyle w:val="FirstParagraph"/>
      </w:pPr>
      <w:r>
        <w:t xml:space="preserve">Function, stance, scope, and resolution are modeled as four independent dimensions rather than a single</w:t>
      </w:r>
      <w:r>
        <w:t xml:space="preserve"> </w:t>
      </w:r>
      <w:r>
        <w:rPr>
          <w:rStyle w:val="VerbatimChar"/>
        </w:rPr>
        <w:t xml:space="preserve">mention / support / dissent</w:t>
      </w:r>
      <w:r>
        <w:t xml:space="preserve"> </w:t>
      </w:r>
      <w:r>
        <w:t xml:space="preserve">axis.</w:t>
      </w:r>
      <w:r>
        <w:t xml:space="preserve"> </w:t>
      </w:r>
      <w:r>
        <w:t xml:space="preserve">“Mention”</w:t>
      </w:r>
      <w:r>
        <w:t xml:space="preserve"> </w:t>
      </w:r>
      <w:r>
        <w:t xml:space="preserve">is a citation</w:t>
      </w:r>
      <w:r>
        <w:t xml:space="preserve"> </w:t>
      </w:r>
      <w:r>
        <w:rPr>
          <w:i/>
          <w:iCs/>
        </w:rPr>
        <w:t xml:space="preserve">function</w:t>
      </w:r>
      <w:r>
        <w:t xml:space="preserve"> </w:t>
      </w:r>
      <w:r>
        <w:t xml:space="preserve">while support/dissent are epistemic</w:t>
      </w:r>
      <w:r>
        <w:t xml:space="preserve"> </w:t>
      </w:r>
      <w:r>
        <w:rPr>
          <w:i/>
          <w:iCs/>
        </w:rPr>
        <w:t xml:space="preserve">stances</w:t>
      </w:r>
      <w:r>
        <w:t xml:space="preserve">, and the two are orthogonal — a citation can mention a method while supporting a result, or support part of a claim while qualifying another. One axis cannot express that; four can.</w:t>
      </w:r>
    </w:p>
    <w:p>
      <w:pPr>
        <w:pStyle w:val="BodyText"/>
      </w:pPr>
      <w:r>
        <w:t xml:space="preserve">The paper-level fallback is now expressed honestly. Instead of</w:t>
      </w:r>
      <w:r>
        <w:t xml:space="preserve"> </w:t>
      </w:r>
      <w:r>
        <w:t xml:space="preserve">“this claim supports that paper,”</w:t>
      </w:r>
      <w:r>
        <w:t xml:space="preserve"> </w:t>
      </w:r>
      <w:r>
        <w:t xml:space="preserve">it records:</w:t>
      </w:r>
    </w:p>
    <w:p>
      <w:pPr>
        <w:pStyle w:val="SourceCode"/>
      </w:pPr>
      <w:r>
        <w:rPr>
          <w:rStyle w:val="VerbatimChar"/>
        </w:rPr>
        <w:t xml:space="preserve">stance = support, resolution = paper_resolved, target claim = unresolved</w:t>
      </w:r>
    </w:p>
    <w:p>
      <w:pPr>
        <w:pStyle w:val="FirstParagraph"/>
      </w:pPr>
      <w:r>
        <w:t xml:space="preserve">still walkable for chain tracing, upgradeable to</w:t>
      </w:r>
      <w:r>
        <w:t xml:space="preserve"> </w:t>
      </w:r>
      <w:r>
        <w:rPr>
          <w:rStyle w:val="VerbatimChar"/>
        </w:rPr>
        <w:t xml:space="preserve">claim_resolved</w:t>
      </w:r>
      <w:r>
        <w:t xml:space="preserve"> </w:t>
      </w:r>
      <w:r>
        <w:t xml:space="preserve">later (when the target’s claims are extracted, or on review), and never overstating precision. An</w:t>
      </w:r>
      <w:r>
        <w:t xml:space="preserve"> </w:t>
      </w:r>
      <w:r>
        <w:rPr>
          <w:rStyle w:val="VerbatimChar"/>
        </w:rPr>
        <w:t xml:space="preserve">unresolved</w:t>
      </w:r>
      <w:r>
        <w:t xml:space="preserve"> </w:t>
      </w:r>
      <w:r>
        <w:t xml:space="preserve">outcome with ranked candidates is a legitimate result at every uncertain stage, not a failure.</w:t>
      </w:r>
    </w:p>
    <w:bookmarkEnd w:id="34"/>
    <w:bookmarkStart w:id="35" w:name="review-and-assessment-layer"/>
    <w:p>
      <w:pPr>
        <w:pStyle w:val="Heading3"/>
      </w:pPr>
      <w:r>
        <w:t xml:space="preserve">2.2.6 Review and assessment layer</w:t>
      </w:r>
    </w:p>
    <w:p>
      <w:pPr>
        <w:pStyle w:val="SourceCode"/>
      </w:pPr>
      <w:r>
        <w:rPr>
          <w:rStyle w:val="VerbatimChar"/>
        </w:rPr>
        <w:t xml:space="preserve">ReviewDecision</w:t>
      </w:r>
      <w:r>
        <w:br/>
      </w:r>
      <w:r>
        <w:rPr>
          <w:rStyle w:val="VerbatimChar"/>
        </w:rPr>
        <w:t xml:space="preserve">  subject_type + subject_id   (occurrence, interpretation, assertion, membership)</w:t>
      </w:r>
      <w:r>
        <w:br/>
      </w:r>
      <w:r>
        <w:rPr>
          <w:rStyle w:val="VerbatimChar"/>
        </w:rPr>
        <w:t xml:space="preserve">  reviewer_id</w:t>
      </w:r>
      <w:r>
        <w:br/>
      </w:r>
      <w:r>
        <w:rPr>
          <w:rStyle w:val="VerbatimChar"/>
        </w:rPr>
        <w:t xml:space="preserve">  decision dimension          (e.g. extraction fidelity, stance, target link)</w:t>
      </w:r>
      <w:r>
        <w:br/>
      </w:r>
      <w:r>
        <w:rPr>
          <w:rStyle w:val="VerbatimChar"/>
        </w:rPr>
        <w:t xml:space="preserve">  label / value</w:t>
      </w:r>
      <w:r>
        <w:br/>
      </w:r>
      <w:r>
        <w:rPr>
          <w:rStyle w:val="VerbatimChar"/>
        </w:rPr>
        <w:t xml:space="preserve">  rationale</w:t>
      </w:r>
      <w:r>
        <w:br/>
      </w:r>
      <w:r>
        <w:rPr>
          <w:rStyle w:val="VerbatimChar"/>
        </w:rPr>
        <w:t xml:space="preserve">  timestamp</w:t>
      </w:r>
      <w:r>
        <w:br/>
      </w:r>
      <w:r>
        <w:br/>
      </w:r>
      <w:r>
        <w:rPr>
          <w:rStyle w:val="VerbatimChar"/>
        </w:rPr>
        <w:t xml:space="preserve">Assessment</w:t>
      </w:r>
      <w:r>
        <w:br/>
      </w:r>
      <w:r>
        <w:rPr>
          <w:rStyle w:val="VerbatimChar"/>
        </w:rPr>
        <w:t xml:space="preserve">  subject_id, assessment_type</w:t>
      </w:r>
      <w:r>
        <w:br/>
      </w:r>
      <w:r>
        <w:rPr>
          <w:rStyle w:val="VerbatimChar"/>
        </w:rPr>
        <w:t xml:space="preserve">  component inputs            (the raw signals used)</w:t>
      </w:r>
      <w:r>
        <w:br/>
      </w:r>
      <w:r>
        <w:rPr>
          <w:rStyle w:val="VerbatimChar"/>
        </w:rPr>
        <w:t xml:space="preserve">  algorithm_version</w:t>
      </w:r>
      <w:r>
        <w:br/>
      </w:r>
      <w:r>
        <w:rPr>
          <w:rStyle w:val="VerbatimChar"/>
        </w:rPr>
        <w:t xml:space="preserve">  computed_value</w:t>
      </w:r>
      <w:r>
        <w:br/>
      </w:r>
      <w:r>
        <w:rPr>
          <w:rStyle w:val="VerbatimChar"/>
        </w:rPr>
        <w:t xml:space="preserve">  computed_at</w:t>
      </w:r>
    </w:p>
    <w:p>
      <w:pPr>
        <w:pStyle w:val="FirstParagraph"/>
      </w:pPr>
      <w:r>
        <w:t xml:space="preserve">All derived scores live in versioned, rebuildable</w:t>
      </w:r>
      <w:r>
        <w:t xml:space="preserve"> </w:t>
      </w:r>
      <w:r>
        <w:rPr>
          <w:rStyle w:val="VerbatimChar"/>
        </w:rPr>
        <w:t xml:space="preserve">Assessment</w:t>
      </w:r>
      <w:r>
        <w:t xml:space="preserve"> </w:t>
      </w:r>
      <w:r>
        <w:t xml:space="preserve">records — never as an unexplained mutable number on a claim. See</w:t>
      </w:r>
      <w:r>
        <w:t xml:space="preserve"> </w:t>
      </w:r>
      <w:hyperlink r:id="rId32">
        <w:r>
          <w:rPr>
            <w:rStyle w:val="Hyperlink"/>
          </w:rPr>
          <w:t xml:space="preserve">scoring-and-review.md</w:t>
        </w:r>
      </w:hyperlink>
      <w:r>
        <w:t xml:space="preserve"> </w:t>
      </w:r>
      <w:r>
        <w:t xml:space="preserve">for the signal decomposition.</w:t>
      </w:r>
    </w:p>
    <w:p>
      <w:pPr>
        <w:pStyle w:val="BodyText"/>
      </w:pPr>
      <w:r>
        <w:rPr>
          <w:rStyle w:val="VerbatimChar"/>
        </w:rPr>
        <w:t xml:space="preserve">UserScore</w:t>
      </w:r>
      <w:r>
        <w:t xml:space="preserve"> </w:t>
      </w:r>
      <w:r>
        <w:t xml:space="preserve">and</w:t>
      </w:r>
      <w:r>
        <w:t xml:space="preserve"> </w:t>
      </w:r>
      <w:r>
        <w:rPr>
          <w:rStyle w:val="VerbatimChar"/>
        </w:rPr>
        <w:t xml:space="preserve">TrustWeight</w:t>
      </w:r>
      <w:r>
        <w:t xml:space="preserve"> </w:t>
      </w:r>
      <w:r>
        <w:t xml:space="preserve">(community/user-supplied signals) are</w:t>
      </w:r>
      <w:r>
        <w:t xml:space="preserve"> </w:t>
      </w:r>
      <w:r>
        <w:rPr>
          <w:b/>
          <w:bCs/>
        </w:rPr>
        <w:t xml:space="preserve">deferred to phase 2</w:t>
      </w:r>
      <w:r>
        <w:t xml:space="preserve"> </w:t>
      </w:r>
      <w:r>
        <w:t xml:space="preserve">but keep the same overlay pattern; their sketches live in scoring-and-review.md.</w:t>
      </w:r>
    </w:p>
    <w:bookmarkEnd w:id="35"/>
    <w:bookmarkEnd w:id="36"/>
    <w:bookmarkStart w:id="37" w:name="additive-only-precisely-scoped"/>
    <w:p>
      <w:pPr>
        <w:pStyle w:val="Heading2"/>
      </w:pPr>
      <w:r>
        <w:t xml:space="preserve">2.3 Additive-only, precisely scoped</w:t>
      </w:r>
    </w:p>
    <w:p>
      <w:pPr>
        <w:pStyle w:val="FirstParagraph"/>
      </w:pPr>
      <w:r>
        <w:t xml:space="preserve">“Additive-only”</w:t>
      </w:r>
      <w:r>
        <w:t xml:space="preserve"> </w:t>
      </w:r>
      <w:r>
        <w:t xml:space="preserve">means</w:t>
      </w:r>
      <w:r>
        <w:t xml:space="preserve"> </w:t>
      </w:r>
      <w:r>
        <w:rPr>
          <w:b/>
          <w:bCs/>
        </w:rPr>
        <w:t xml:space="preserve">immutable scientific assertions and decisions</w:t>
      </w:r>
      <w:r>
        <w:t xml:space="preserve"> </w:t>
      </w:r>
      <w:r>
        <w:t xml:space="preserve">— not</w:t>
      </w:r>
      <w:r>
        <w:t xml:space="preserve"> </w:t>
      </w:r>
      <w:r>
        <w:t xml:space="preserve">“nothing can ever be deleted.”</w:t>
      </w:r>
      <w:r>
        <w:t xml:space="preserve"> </w:t>
      </w:r>
      <w:r>
        <w:t xml:space="preserve">The system still needs:</w:t>
      </w:r>
    </w:p>
    <w:p>
      <w:pPr>
        <w:pStyle w:val="Compact"/>
        <w:numPr>
          <w:ilvl w:val="0"/>
          <w:numId w:val="1006"/>
        </w:numPr>
      </w:pPr>
      <w:r>
        <w:rPr>
          <w:b/>
          <w:bCs/>
        </w:rPr>
        <w:t xml:space="preserve">Tombstones</w:t>
      </w:r>
      <w:r>
        <w:t xml:space="preserve"> </w:t>
      </w:r>
      <w:r>
        <w:t xml:space="preserve">for takedowns/redactions: preserve that a record existed and why it was removed, without the content;</w:t>
      </w:r>
    </w:p>
    <w:p>
      <w:pPr>
        <w:pStyle w:val="Compact"/>
        <w:numPr>
          <w:ilvl w:val="0"/>
          <w:numId w:val="1006"/>
        </w:numPr>
      </w:pPr>
      <w:r>
        <w:t xml:space="preserve">access revocation and license-driven retention for full text;</w:t>
      </w:r>
    </w:p>
    <w:p>
      <w:pPr>
        <w:pStyle w:val="Compact"/>
        <w:numPr>
          <w:ilvl w:val="0"/>
          <w:numId w:val="1006"/>
        </w:numPr>
      </w:pPr>
      <w:r>
        <w:t xml:space="preserve">handling for copyrighted or sensitive material.</w:t>
      </w:r>
    </w:p>
    <w:bookmarkEnd w:id="37"/>
    <w:bookmarkStart w:id="38" w:name="graph-shape-projection-view"/>
    <w:p>
      <w:pPr>
        <w:pStyle w:val="Heading2"/>
      </w:pPr>
      <w:r>
        <w:t xml:space="preserve">2.4 Graph shape (projection view)</w:t>
      </w:r>
    </w:p>
    <w:p>
      <w:pPr>
        <w:pStyle w:val="FirstParagraph"/>
      </w:pPr>
      <w:r>
        <w:t xml:space="preserve">What queries actually traverse, after projection (</w:t>
      </w:r>
      <w:hyperlink r:id="rId26">
        <w:r>
          <w:rPr>
            <w:rStyle w:val="Hyperlink"/>
          </w:rPr>
          <w:t xml:space="preserve">architecture.md</w:t>
        </w:r>
      </w:hyperlink>
      <w:r>
        <w:t xml:space="preserve">):</w:t>
      </w:r>
    </w:p>
    <w:p>
      <w:pPr>
        <w:pStyle w:val="SourceCode"/>
      </w:pPr>
      <w:r>
        <w:rPr>
          <w:rStyle w:val="VerbatimChar"/>
        </w:rPr>
        <w:t xml:space="preserve">Paper --[has_claim]--&gt; Claim ==[RelationAssertion: stance+function]==&gt; Claim   (claim_resolved)</w:t>
      </w:r>
      <w:r>
        <w:br/>
      </w:r>
      <w:r>
        <w:rPr>
          <w:rStyle w:val="VerbatimChar"/>
        </w:rPr>
        <w:t xml:space="preserve">                         |                                          \=&gt; Paper  (paper_resolved fallback)</w:t>
      </w:r>
      <w:r>
        <w:br/>
      </w:r>
      <w:r>
        <w:rPr>
          <w:rStyle w:val="VerbatimChar"/>
        </w:rPr>
        <w:t xml:space="preserve">                         --[member_of]--&gt; Cluster</w:t>
      </w:r>
      <w:r>
        <w:br/>
      </w:r>
      <w:r>
        <w:rPr>
          <w:rStyle w:val="VerbatimChar"/>
        </w:rPr>
        <w:t xml:space="preserve">                         --[anchored_to]--&gt; Passage --&gt; PaperVersion</w:t>
      </w:r>
    </w:p>
    <w:p>
      <w:pPr>
        <w:pStyle w:val="FirstParagraph"/>
      </w:pPr>
      <w:r>
        <w:t xml:space="preserve">Each projected edge carries</w:t>
      </w:r>
      <w:r>
        <w:t xml:space="preserve"> </w:t>
      </w:r>
      <w:r>
        <w:rPr>
          <w:rStyle w:val="VerbatimChar"/>
        </w:rPr>
        <w:t xml:space="preserve">resolution</w:t>
      </w:r>
      <w:r>
        <w:t xml:space="preserve">,</w:t>
      </w:r>
      <w:r>
        <w:t xml:space="preserve"> </w:t>
      </w:r>
      <w:r>
        <w:rPr>
          <w:rStyle w:val="VerbatimChar"/>
        </w:rPr>
        <w:t xml:space="preserve">stance</w:t>
      </w:r>
      <w:r>
        <w:t xml:space="preserve">,</w:t>
      </w:r>
      <w:r>
        <w:t xml:space="preserve"> </w:t>
      </w:r>
      <w:r>
        <w:rPr>
          <w:rStyle w:val="VerbatimChar"/>
        </w:rPr>
        <w:t xml:space="preserve">function</w:t>
      </w:r>
      <w:r>
        <w:t xml:space="preserve">, both scores, and a pointer back to its</w:t>
      </w:r>
      <w:r>
        <w:t xml:space="preserve"> </w:t>
      </w:r>
      <w:r>
        <w:rPr>
          <w:rStyle w:val="VerbatimChar"/>
        </w:rPr>
        <w:t xml:space="preserve">RelationAssertion</w:t>
      </w:r>
      <w:r>
        <w:t xml:space="preserve"> </w:t>
      </w:r>
      <w:r>
        <w:t xml:space="preserve">in the system of record.</w:t>
      </w:r>
    </w:p>
    <w:bookmarkEnd w:id="38"/>
    <w:bookmarkStart w:id="39" w:name="mapping-onto-biolink"/>
    <w:p>
      <w:pPr>
        <w:pStyle w:val="Heading2"/>
      </w:pPr>
      <w:r>
        <w:t xml:space="preserve">2.5 Mapping onto BioLink</w:t>
      </w:r>
    </w:p>
    <w:p>
      <w:pPr>
        <w:pStyle w:val="FirstParagraph"/>
      </w:pPr>
      <w:r>
        <w:t xml:space="preserve">The model maps cleanly onto BioLink:</w:t>
      </w:r>
    </w:p>
    <w:p>
      <w:pPr>
        <w:pStyle w:val="Compact"/>
        <w:numPr>
          <w:ilvl w:val="0"/>
          <w:numId w:val="1007"/>
        </w:numPr>
      </w:pPr>
      <w:r>
        <w:rPr>
          <w:rStyle w:val="VerbatimChar"/>
        </w:rPr>
        <w:t xml:space="preserve">ClaimInterpretation</w:t>
      </w:r>
      <w:r>
        <w:t xml:space="preserve"> </w:t>
      </w:r>
      <w:r>
        <w:t xml:space="preserve">→ subtype of BioLink</w:t>
      </w:r>
      <w:r>
        <w:t xml:space="preserve"> </w:t>
      </w:r>
      <w:r>
        <w:rPr>
          <w:rStyle w:val="VerbatimChar"/>
        </w:rPr>
        <w:t xml:space="preserve">InformationContentEntity</w:t>
      </w:r>
      <w:r>
        <w:t xml:space="preserve">.</w:t>
      </w:r>
    </w:p>
    <w:p>
      <w:pPr>
        <w:pStyle w:val="Compact"/>
        <w:numPr>
          <w:ilvl w:val="0"/>
          <w:numId w:val="1007"/>
        </w:numPr>
      </w:pPr>
      <w:r>
        <w:rPr>
          <w:rStyle w:val="VerbatimChar"/>
        </w:rPr>
        <w:t xml:space="preserve">RelationAssertion</w:t>
      </w:r>
      <w:r>
        <w:t xml:space="preserve"> </w:t>
      </w:r>
      <w:r>
        <w:t xml:space="preserve">→ a custom</w:t>
      </w:r>
      <w:r>
        <w:t xml:space="preserve"> </w:t>
      </w:r>
      <w:r>
        <w:rPr>
          <w:rStyle w:val="VerbatimChar"/>
        </w:rPr>
        <w:t xml:space="preserve">Association</w:t>
      </w:r>
      <w:r>
        <w:t xml:space="preserve"> </w:t>
      </w:r>
      <w:r>
        <w:t xml:space="preserve">subclass; its evidence, publications, and confidence fields map naturally onto BioLink’s provenance-heavy association pattern, a better fit than a lightweight property-graph edge.</w:t>
      </w:r>
    </w:p>
    <w:p>
      <w:pPr>
        <w:pStyle w:val="Compact"/>
        <w:numPr>
          <w:ilvl w:val="0"/>
          <w:numId w:val="1007"/>
        </w:numPr>
      </w:pPr>
      <w:r>
        <w:rPr>
          <w:rStyle w:val="VerbatimChar"/>
        </w:rPr>
        <w:t xml:space="preserve">ExtractionRun</w:t>
      </w:r>
      <w:r>
        <w:t xml:space="preserve"> </w:t>
      </w:r>
      <w:r>
        <w:t xml:space="preserve">provenance →</w:t>
      </w:r>
      <w:r>
        <w:t xml:space="preserve"> </w:t>
      </w:r>
      <w:r>
        <w:rPr>
          <w:rStyle w:val="VerbatimChar"/>
        </w:rPr>
        <w:t xml:space="preserve">knowledge_source</w:t>
      </w:r>
      <w:r>
        <w:t xml:space="preserve"> </w:t>
      </w:r>
      <w:r>
        <w:t xml:space="preserve">/</w:t>
      </w:r>
      <w:r>
        <w:t xml:space="preserve"> </w:t>
      </w:r>
      <w:r>
        <w:rPr>
          <w:rStyle w:val="VerbatimChar"/>
        </w:rPr>
        <w:t xml:space="preserve">primary_knowledge_source</w:t>
      </w:r>
      <w:r>
        <w:t xml:space="preserve"> </w:t>
      </w:r>
      <w:r>
        <w:t xml:space="preserve">/</w:t>
      </w:r>
      <w:r>
        <w:t xml:space="preserve"> </w:t>
      </w:r>
      <w:r>
        <w:rPr>
          <w:rStyle w:val="VerbatimChar"/>
        </w:rPr>
        <w:t xml:space="preserve">aggregator_knowledge_source</w:t>
      </w:r>
      <w:r>
        <w:t xml:space="preserve"> </w:t>
      </w:r>
      <w:r>
        <w:t xml:space="preserve">slots (RoboKop already has display plumbing here).</w:t>
      </w:r>
    </w:p>
    <w:p>
      <w:pPr>
        <w:pStyle w:val="Compact"/>
        <w:numPr>
          <w:ilvl w:val="0"/>
          <w:numId w:val="1007"/>
        </w:numPr>
      </w:pPr>
      <w:r>
        <w:rPr>
          <w:rStyle w:val="VerbatimChar"/>
        </w:rPr>
        <w:t xml:space="preserve">PaperWork</w:t>
      </w:r>
      <w:r>
        <w:t xml:space="preserve">/</w:t>
      </w:r>
      <w:r>
        <w:rPr>
          <w:rStyle w:val="VerbatimChar"/>
        </w:rPr>
        <w:t xml:space="preserve">PaperVersion</w:t>
      </w:r>
      <w:r>
        <w:t xml:space="preserve"> </w:t>
      </w:r>
      <w:r>
        <w:t xml:space="preserve">→ BioLink</w:t>
      </w:r>
      <w:r>
        <w:t xml:space="preserve"> </w:t>
      </w:r>
      <w:r>
        <w:rPr>
          <w:rStyle w:val="VerbatimChar"/>
        </w:rPr>
        <w:t xml:space="preserve">Publication</w:t>
      </w:r>
      <w:r>
        <w:t xml:space="preserve">, kept close to unmodified; versioning is an additive slot.</w:t>
      </w:r>
    </w:p>
    <w:bookmarkEnd w:id="39"/>
    <w:bookmarkStart w:id="43" w:name="machine-readable-schema-linkml"/>
    <w:p>
      <w:pPr>
        <w:pStyle w:val="Heading2"/>
      </w:pPr>
      <w:r>
        <w:t xml:space="preserve">2.6 Machine-readable schema (LinkML)</w:t>
      </w:r>
    </w:p>
    <w:p>
      <w:pPr>
        <w:pStyle w:val="FirstParagraph"/>
      </w:pPr>
      <w:r>
        <w:t xml:space="preserve">This logical model is encoded as an executable</w:t>
      </w:r>
      <w:r>
        <w:t xml:space="preserve"> </w:t>
      </w:r>
      <w:hyperlink r:id="rId40">
        <w:r>
          <w:rPr>
            <w:rStyle w:val="Hyperlink"/>
          </w:rPr>
          <w:t xml:space="preserve">LinkML</w:t>
        </w:r>
      </w:hyperlink>
      <w:r>
        <w:t xml:space="preserve"> </w:t>
      </w:r>
      <w:r>
        <w:t xml:space="preserve">schema at</w:t>
      </w:r>
      <w:r>
        <w:t xml:space="preserve"> </w:t>
      </w:r>
      <w:hyperlink r:id="rId41">
        <w:r>
          <w:rPr>
            <w:rStyle w:val="VerbatimChar"/>
          </w:rPr>
          <w:t xml:space="preserve">schema/interciter.yaml</w:t>
        </w:r>
      </w:hyperlink>
      <w:r>
        <w:t xml:space="preserve">. LinkML is the natural choice because BioLink itself is authored in LinkML, so the mappings above are expressed as first-class</w:t>
      </w:r>
      <w:r>
        <w:t xml:space="preserve"> </w:t>
      </w:r>
      <w:r>
        <w:rPr>
          <w:rStyle w:val="VerbatimChar"/>
        </w:rPr>
        <w:t xml:space="preserve">exact_mappings</w:t>
      </w:r>
      <w:r>
        <w:t xml:space="preserve"> </w:t>
      </w:r>
      <w:r>
        <w:t xml:space="preserve">rather than prose, and a single source can generate the multiple physical shapes this design already calls for — SQL DDL for the PostgreSQL system of record, Pydantic models for strict validation of extraction output, plus JSON Schema, GraphQL, and RDF/OWL.</w:t>
      </w:r>
    </w:p>
    <w:p>
      <w:pPr>
        <w:pStyle w:val="BodyText"/>
      </w:pPr>
      <w:r>
        <w:t xml:space="preserve">The schema is the entity/constraint contract only. Derived behavior —</w:t>
      </w:r>
      <w:r>
        <w:t xml:space="preserve"> </w:t>
      </w:r>
      <w:r>
        <w:t xml:space="preserve">“current head”</w:t>
      </w:r>
      <w:r>
        <w:t xml:space="preserve"> </w:t>
      </w:r>
      <w:r>
        <w:t xml:space="preserve">resolution,</w:t>
      </w:r>
      <w:r>
        <w:t xml:space="preserve"> </w:t>
      </w:r>
      <w:r>
        <w:rPr>
          <w:rStyle w:val="VerbatimChar"/>
        </w:rPr>
        <w:t xml:space="preserve">stale_pending_review</w:t>
      </w:r>
      <w:r>
        <w:t xml:space="preserve"> </w:t>
      </w:r>
      <w:r>
        <w:t xml:space="preserve">propagation, read-time cluster resolution, and the flattened read-side projection (</w:t>
      </w:r>
      <w:hyperlink r:id="rId26">
        <w:r>
          <w:rPr>
            <w:rStyle w:val="Hyperlink"/>
          </w:rPr>
          <w:t xml:space="preserve">architecture.md</w:t>
        </w:r>
      </w:hyperlink>
      <w:r>
        <w:t xml:space="preserve">) — remains application logic and is deliberately</w:t>
      </w:r>
      <w:r>
        <w:t xml:space="preserve"> </w:t>
      </w:r>
      <w:r>
        <w:rPr>
          <w:b/>
          <w:bCs/>
        </w:rPr>
        <w:t xml:space="preserve">not</w:t>
      </w:r>
      <w:r>
        <w:t xml:space="preserve"> </w:t>
      </w:r>
      <w:r>
        <w:t xml:space="preserve">modeled there.</w:t>
      </w:r>
    </w:p>
    <w:p>
      <w:pPr>
        <w:pStyle w:val="BodyText"/>
      </w:pPr>
      <w:r>
        <w:t xml:space="preserve">Working with it (LinkML is pinned in</w:t>
      </w:r>
      <w:r>
        <w:t xml:space="preserve"> </w:t>
      </w:r>
      <w:hyperlink r:id="rId42">
        <w:r>
          <w:rPr>
            <w:rStyle w:val="VerbatimChar"/>
          </w:rPr>
          <w:t xml:space="preserve">schema/requirements.txt</w:t>
        </w:r>
      </w:hyperlink>
      <w:r>
        <w:t xml:space="preserve">):</w:t>
      </w:r>
    </w:p>
    <w:p>
      <w:pPr>
        <w:pStyle w:val="SourceCode"/>
      </w:pPr>
      <w:r>
        <w:rPr>
          <w:rStyle w:val="ExtensionTok"/>
        </w:rPr>
        <w:t xml:space="preserve">uv</w:t>
      </w:r>
      <w:r>
        <w:rPr>
          <w:rStyle w:val="NormalTok"/>
        </w:rPr>
        <w:t xml:space="preserve"> tool run </w:t>
      </w:r>
      <w:r>
        <w:rPr>
          <w:rStyle w:val="AttributeTok"/>
        </w:rPr>
        <w:t xml:space="preserve">--from</w:t>
      </w:r>
      <w:r>
        <w:rPr>
          <w:rStyle w:val="NormalTok"/>
        </w:rPr>
        <w:t xml:space="preserve"> linkml linkml-lint schema/interciter.yaml   </w:t>
      </w:r>
      <w:r>
        <w:rPr>
          <w:rStyle w:val="CommentTok"/>
        </w:rPr>
        <w:t xml:space="preserve"># validate</w:t>
      </w:r>
      <w:r>
        <w:br/>
      </w:r>
      <w:r>
        <w:rPr>
          <w:rStyle w:val="ExtensionTok"/>
        </w:rPr>
        <w:t xml:space="preserve">uv</w:t>
      </w:r>
      <w:r>
        <w:rPr>
          <w:rStyle w:val="NormalTok"/>
        </w:rPr>
        <w:t xml:space="preserve"> tool run </w:t>
      </w:r>
      <w:r>
        <w:rPr>
          <w:rStyle w:val="AttributeTok"/>
        </w:rPr>
        <w:t xml:space="preserve">--from</w:t>
      </w:r>
      <w:r>
        <w:rPr>
          <w:rStyle w:val="NormalTok"/>
        </w:rPr>
        <w:t xml:space="preserve"> linkml gen-pydantic schema/interciter.yaml   </w:t>
      </w:r>
      <w:r>
        <w:rPr>
          <w:rStyle w:val="CommentTok"/>
        </w:rPr>
        <w:t xml:space="preserve"># Pydantic models</w:t>
      </w:r>
      <w:r>
        <w:br/>
      </w:r>
      <w:r>
        <w:rPr>
          <w:rStyle w:val="ExtensionTok"/>
        </w:rPr>
        <w:t xml:space="preserve">uv</w:t>
      </w:r>
      <w:r>
        <w:rPr>
          <w:rStyle w:val="NormalTok"/>
        </w:rPr>
        <w:t xml:space="preserve"> tool run </w:t>
      </w:r>
      <w:r>
        <w:rPr>
          <w:rStyle w:val="AttributeTok"/>
        </w:rPr>
        <w:t xml:space="preserve">--from</w:t>
      </w:r>
      <w:r>
        <w:rPr>
          <w:rStyle w:val="NormalTok"/>
        </w:rPr>
        <w:t xml:space="preserve"> linkml gen-sqlddl   schema/interciter.yaml   </w:t>
      </w:r>
      <w:r>
        <w:rPr>
          <w:rStyle w:val="CommentTok"/>
        </w:rPr>
        <w:t xml:space="preserve"># SQL DDL</w:t>
      </w:r>
    </w:p>
    <w:bookmarkEnd w:id="43"/>
    <w:bookmarkEnd w:id="44"/>
    <w:bookmarkStart w:id="58" w:name="interciter-architecture"/>
    <w:p>
      <w:pPr>
        <w:pStyle w:val="Heading1"/>
      </w:pPr>
      <w:r>
        <w:t xml:space="preserve">3. InterCiter — Architecture</w:t>
      </w:r>
    </w:p>
    <w:bookmarkStart w:id="45" w:name="three-layers"/>
    <w:p>
      <w:pPr>
        <w:pStyle w:val="Heading2"/>
      </w:pPr>
      <w:r>
        <w:t xml:space="preserve">3.1 Three layers</w:t>
      </w:r>
    </w:p>
    <w:p>
      <w:pPr>
        <w:pStyle w:val="Compact"/>
        <w:numPr>
          <w:ilvl w:val="0"/>
          <w:numId w:val="1008"/>
        </w:numPr>
      </w:pPr>
      <w:r>
        <w:rPr>
          <w:b/>
          <w:bCs/>
        </w:rPr>
        <w:t xml:space="preserve">Ingestion / Extraction</w:t>
      </w:r>
      <w:r>
        <w:t xml:space="preserve"> </w:t>
      </w:r>
      <w:r>
        <w:t xml:space="preserve">— paper → occurrences, interpretations, relation assertions. Stateless and pluggable; extraction models are swappable without touching storage. Every run is recorded as an</w:t>
      </w:r>
      <w:r>
        <w:t xml:space="preserve"> </w:t>
      </w:r>
      <w:r>
        <w:rPr>
          <w:rStyle w:val="VerbatimChar"/>
        </w:rPr>
        <w:t xml:space="preserve">ExtractionRun</w:t>
      </w:r>
      <w:r>
        <w:t xml:space="preserve">.</w:t>
      </w:r>
    </w:p>
    <w:p>
      <w:pPr>
        <w:pStyle w:val="Compact"/>
        <w:numPr>
          <w:ilvl w:val="0"/>
          <w:numId w:val="1008"/>
        </w:numPr>
      </w:pPr>
      <w:r>
        <w:rPr>
          <w:b/>
          <w:bCs/>
        </w:rPr>
        <w:t xml:space="preserve">Knowledge Graph</w:t>
      </w:r>
      <w:r>
        <w:t xml:space="preserve"> </w:t>
      </w:r>
      <w:r>
        <w:t xml:space="preserve">— the immutable system of record plus its projections, BioLink-aligned.</w:t>
      </w:r>
    </w:p>
    <w:p>
      <w:pPr>
        <w:pStyle w:val="Compact"/>
        <w:numPr>
          <w:ilvl w:val="0"/>
          <w:numId w:val="1008"/>
        </w:numPr>
      </w:pPr>
      <w:r>
        <w:rPr>
          <w:b/>
          <w:bCs/>
        </w:rPr>
        <w:t xml:space="preserve">Access</w:t>
      </w:r>
      <w:r>
        <w:t xml:space="preserve"> </w:t>
      </w:r>
      <w:r>
        <w:t xml:space="preserve">— the API and everything on it. Frontend-agnostic; visualization endpoints return data, not images.</w:t>
      </w:r>
    </w:p>
    <w:bookmarkEnd w:id="45"/>
    <w:bookmarkStart w:id="51" w:name="logical-model-vs-physical-schema"/>
    <w:p>
      <w:pPr>
        <w:pStyle w:val="Heading2"/>
      </w:pPr>
      <w:r>
        <w:t xml:space="preserve">3.2 Logical model vs physical schema</w:t>
      </w:r>
    </w:p>
    <w:p>
      <w:pPr>
        <w:pStyle w:val="FirstParagraph"/>
      </w:pPr>
      <w:r>
        <w:t xml:space="preserve">The single most important architectural decision:</w:t>
      </w:r>
      <w:r>
        <w:t xml:space="preserve"> </w:t>
      </w:r>
      <w:r>
        <w:rPr>
          <w:b/>
          <w:bCs/>
        </w:rPr>
        <w:t xml:space="preserve">the rich immutable model is the system of record; queries traverse a derived projection.</w:t>
      </w:r>
      <w:r>
        <w:t xml:space="preserve"> </w:t>
      </w:r>
      <w:r>
        <w:t xml:space="preserve">Implementing the full entity catalog as the graph schema would put 5–7 hops between any two claims (</w:t>
      </w:r>
      <w:r>
        <w:rPr>
          <w:rStyle w:val="VerbatimChar"/>
        </w:rPr>
        <w:t xml:space="preserve">Cluster → Interpretation → Occurrence → RelationAssertion → Occurrence → Interpretation → Cluster</w:t>
      </w:r>
      <w:r>
        <w:t xml:space="preserve">) — a constant-factor increase in size but a real traversal-depth problem for interactive exploration.</w:t>
      </w:r>
    </w:p>
    <w:bookmarkStart w:id="47" w:name="write-model-system-of-record"/>
    <w:p>
      <w:pPr>
        <w:pStyle w:val="Heading3"/>
      </w:pPr>
      <w:r>
        <w:t xml:space="preserve">3.2.1 Write model — system of record</w:t>
      </w:r>
    </w:p>
    <w:p>
      <w:pPr>
        <w:pStyle w:val="FirstParagraph"/>
      </w:pPr>
      <w:r>
        <w:t xml:space="preserve">A normalized relational store (PostgreSQL) holding every entity in</w:t>
      </w:r>
      <w:r>
        <w:t xml:space="preserve"> </w:t>
      </w:r>
      <w:hyperlink r:id="rId46">
        <w:r>
          <w:rPr>
            <w:rStyle w:val="Hyperlink"/>
          </w:rPr>
          <w:t xml:space="preserve">data-model.md</w:t>
        </w:r>
      </w:hyperlink>
      <w:r>
        <w:t xml:space="preserve">, append-only in semantics: occurrences, interpretations, revision graphs, relation assertions, cluster memberships, review decisions, assessments. This is where provenance and auditability live. Nothing here is ever silently rewritten.</w:t>
      </w:r>
    </w:p>
    <w:bookmarkEnd w:id="47"/>
    <w:bookmarkStart w:id="48" w:name="read-model-materialized-graph-projection"/>
    <w:p>
      <w:pPr>
        <w:pStyle w:val="Heading3"/>
      </w:pPr>
      <w:r>
        <w:t xml:space="preserve">3.2.2 Read model — materialized graph projection</w:t>
      </w:r>
    </w:p>
    <w:p>
      <w:pPr>
        <w:pStyle w:val="FirstParagraph"/>
      </w:pPr>
      <w:r>
        <w:t xml:space="preserve">A periodically rebuilt projection into the graph database (e.g. Neo4j) flattens the chain for traversal: one projected</w:t>
      </w:r>
      <w:r>
        <w:t xml:space="preserve"> </w:t>
      </w:r>
      <w:r>
        <w:rPr>
          <w:b/>
          <w:bCs/>
        </w:rPr>
        <w:t xml:space="preserve">Claim node</w:t>
      </w:r>
      <w:r>
        <w:t xml:space="preserve"> </w:t>
      </w:r>
      <w:r>
        <w:t xml:space="preserve">per current interpretation head (or cluster representative), with relation assertions projected as typed edges carrying</w:t>
      </w:r>
      <w:r>
        <w:t xml:space="preserve"> </w:t>
      </w:r>
      <w:r>
        <w:rPr>
          <w:rStyle w:val="VerbatimChar"/>
        </w:rPr>
        <w:t xml:space="preserve">stance</w:t>
      </w:r>
      <w:r>
        <w:t xml:space="preserve">,</w:t>
      </w:r>
      <w:r>
        <w:t xml:space="preserve"> </w:t>
      </w:r>
      <w:r>
        <w:rPr>
          <w:rStyle w:val="VerbatimChar"/>
        </w:rPr>
        <w:t xml:space="preserve">function</w:t>
      </w:r>
      <w:r>
        <w:t xml:space="preserve">,</w:t>
      </w:r>
      <w:r>
        <w:t xml:space="preserve"> </w:t>
      </w:r>
      <w:r>
        <w:rPr>
          <w:rStyle w:val="VerbatimChar"/>
        </w:rPr>
        <w:t xml:space="preserve">resolution</w:t>
      </w:r>
      <w:r>
        <w:t xml:space="preserve">, and both confidence scores.</w:t>
      </w:r>
    </w:p>
    <w:p>
      <w:pPr>
        <w:pStyle w:val="BodyText"/>
      </w:pPr>
      <w:r>
        <w:t xml:space="preserve">Guardrails, so the projection never reintroduces the conflation the logical model exists to prevent:</w:t>
      </w:r>
    </w:p>
    <w:p>
      <w:pPr>
        <w:pStyle w:val="Compact"/>
        <w:numPr>
          <w:ilvl w:val="0"/>
          <w:numId w:val="1009"/>
        </w:numPr>
      </w:pPr>
      <w:r>
        <w:t xml:space="preserve">The projection is</w:t>
      </w:r>
      <w:r>
        <w:t xml:space="preserve"> </w:t>
      </w:r>
      <w:r>
        <w:rPr>
          <w:b/>
          <w:bCs/>
        </w:rPr>
        <w:t xml:space="preserve">derived, versioned, and rebuildable from the system of record at any time</w:t>
      </w:r>
      <w:r>
        <w:t xml:space="preserve">. It is a cache, not a source of truth.</w:t>
      </w:r>
    </w:p>
    <w:p>
      <w:pPr>
        <w:pStyle w:val="Compact"/>
        <w:numPr>
          <w:ilvl w:val="0"/>
          <w:numId w:val="1009"/>
        </w:numPr>
      </w:pPr>
      <w:r>
        <w:t xml:space="preserve">A projected</w:t>
      </w:r>
      <w:r>
        <w:t xml:space="preserve"> </w:t>
      </w:r>
      <w:r>
        <w:t xml:space="preserve">“consensus claim”</w:t>
      </w:r>
      <w:r>
        <w:t xml:space="preserve"> </w:t>
      </w:r>
      <w:r>
        <w:t xml:space="preserve">node</w:t>
      </w:r>
      <w:r>
        <w:t xml:space="preserve"> </w:t>
      </w:r>
      <w:r>
        <w:rPr>
          <w:b/>
          <w:bCs/>
        </w:rPr>
        <w:t xml:space="preserve">carries its cluster provenance</w:t>
      </w:r>
      <w:r>
        <w:t xml:space="preserve"> </w:t>
      </w:r>
      <w:r>
        <w:t xml:space="preserve">— which memberships and which interpretation heads produced it — and every edge links back to its</w:t>
      </w:r>
      <w:r>
        <w:t xml:space="preserve"> </w:t>
      </w:r>
      <w:r>
        <w:rPr>
          <w:rStyle w:val="VerbatimChar"/>
        </w:rPr>
        <w:t xml:space="preserve">RelationAssertion</w:t>
      </w:r>
      <w:r>
        <w:t xml:space="preserve"> </w:t>
      </w:r>
      <w:r>
        <w:t xml:space="preserve">id. Users (and downstream code) can always drill to evidence.</w:t>
      </w:r>
    </w:p>
    <w:p>
      <w:pPr>
        <w:pStyle w:val="Compact"/>
        <w:numPr>
          <w:ilvl w:val="0"/>
          <w:numId w:val="1009"/>
        </w:numPr>
      </w:pPr>
      <w:r>
        <w:t xml:space="preserve">Nothing writes to the projection except the projector. Human review, revisions, and scores land in the system of record and flow forward on rebuild.</w:t>
      </w:r>
    </w:p>
    <w:bookmarkEnd w:id="48"/>
    <w:bookmarkStart w:id="50" w:name="ux-projection"/>
    <w:p>
      <w:pPr>
        <w:pStyle w:val="Heading3"/>
      </w:pPr>
      <w:r>
        <w:t xml:space="preserve">3.2.3 UX projection</w:t>
      </w:r>
    </w:p>
    <w:p>
      <w:pPr>
        <w:pStyle w:val="FirstParagraph"/>
      </w:pPr>
      <w:r>
        <w:t xml:space="preserve">The same principle applies one layer up: end users must not need to understand occurrence-vs-interpretation to read a result. The API serves</w:t>
      </w:r>
      <w:r>
        <w:t xml:space="preserve"> </w:t>
      </w:r>
      <w:r>
        <w:rPr>
          <w:b/>
          <w:bCs/>
        </w:rPr>
        <w:t xml:space="preserve">composed, reader-friendly views</w:t>
      </w:r>
      <w:r>
        <w:t xml:space="preserve"> </w:t>
      </w:r>
      <w:r>
        <w:t xml:space="preserve">(claim text + source snippet + provenance link) as the default representation, with the full audit structure available behind explicit endpoints (</w:t>
      </w:r>
      <w:hyperlink r:id="rId49">
        <w:r>
          <w:rPr>
            <w:rStyle w:val="Hyperlink"/>
          </w:rPr>
          <w:t xml:space="preserve">api.md</w:t>
        </w:r>
      </w:hyperlink>
      <w:r>
        <w:t xml:space="preserve">). The audit model is for machines and reviewers; the default read path is for researchers. This is acknowledged frontend/API design work, not an afterthought.</w:t>
      </w:r>
    </w:p>
    <w:bookmarkEnd w:id="50"/>
    <w:bookmarkEnd w:id="51"/>
    <w:bookmarkStart w:id="54" w:name="semantic-scholar-integration"/>
    <w:p>
      <w:pPr>
        <w:pStyle w:val="Heading2"/>
      </w:pPr>
      <w:r>
        <w:t xml:space="preserve">3.3 Semantic Scholar integration</w:t>
      </w:r>
    </w:p>
    <w:p>
      <w:pPr>
        <w:pStyle w:val="FirstParagraph"/>
      </w:pPr>
      <w:r>
        <w:t xml:space="preserve">Semantic Scholar is the</w:t>
      </w:r>
      <w:r>
        <w:t xml:space="preserve"> </w:t>
      </w:r>
      <w:r>
        <w:rPr>
          <w:b/>
          <w:bCs/>
        </w:rPr>
        <w:t xml:space="preserve">paper + citation-graph substrate</w:t>
      </w:r>
      <w:r>
        <w:t xml:space="preserve"> </w:t>
      </w:r>
      <w:r>
        <w:t xml:space="preserve">(Datasets API, monthly snapshots + incremental diffs); InterCiter’s novel layer sits on top. Design decisions:</w:t>
      </w:r>
    </w:p>
    <w:p>
      <w:pPr>
        <w:pStyle w:val="Compact"/>
        <w:numPr>
          <w:ilvl w:val="0"/>
          <w:numId w:val="1010"/>
        </w:numPr>
      </w:pPr>
      <w:r>
        <w:rPr>
          <w:b/>
          <w:bCs/>
        </w:rPr>
        <w:t xml:space="preserve">Resolved citation links</w:t>
      </w:r>
      <w:r>
        <w:t xml:space="preserve"> </w:t>
      </w:r>
      <w:r>
        <w:t xml:space="preserve">— the headline inheritance: S2ORC ties bibliography entries to inline mentions, feeding</w:t>
      </w:r>
      <w:r>
        <w:t xml:space="preserve"> </w:t>
      </w:r>
      <w:r>
        <w:rPr>
          <w:rStyle w:val="VerbatimChar"/>
        </w:rPr>
        <w:t xml:space="preserve">CitationMention</w:t>
      </w:r>
      <w:r>
        <w:t xml:space="preserve"> </w:t>
      </w:r>
      <w:r>
        <w:t xml:space="preserve">directly.</w:t>
      </w:r>
    </w:p>
    <w:p>
      <w:pPr>
        <w:pStyle w:val="Compact"/>
        <w:numPr>
          <w:ilvl w:val="0"/>
          <w:numId w:val="1010"/>
        </w:numPr>
      </w:pPr>
      <w:r>
        <w:rPr>
          <w:b/>
          <w:bCs/>
        </w:rPr>
        <w:t xml:space="preserve">SPECTER embeddings are paper-level and are used only for paper-level candidate narrowing.</w:t>
      </w:r>
      <w:r>
        <w:t xml:space="preserve"> </w:t>
      </w:r>
      <w:r>
        <w:t xml:space="preserve">They are not used to seed claim-level dedup or target-claim alignment: claim-level comparison requires a sentence/claim encoder, and confident equivalence or alignment requires a cross-encoder or entailment model on top (</w:t>
      </w:r>
      <w:hyperlink r:id="rId46">
        <w:r>
          <w:rPr>
            <w:rStyle w:val="Hyperlink"/>
          </w:rPr>
          <w:t xml:space="preserve">data-model.md</w:t>
        </w:r>
      </w:hyperlink>
      <w:r>
        <w:t xml:space="preserve">).</w:t>
      </w:r>
    </w:p>
    <w:p>
      <w:pPr>
        <w:pStyle w:val="Compact"/>
        <w:numPr>
          <w:ilvl w:val="0"/>
          <w:numId w:val="1010"/>
        </w:numPr>
      </w:pPr>
      <w:r>
        <w:rPr>
          <w:b/>
          <w:bCs/>
        </w:rPr>
        <w:t xml:space="preserve">Citation intent labels are weak supervision, not ground truth.</w:t>
      </w:r>
      <w:r>
        <w:t xml:space="preserve"> </w:t>
      </w:r>
      <w:r>
        <w:t xml:space="preserve">Their label set differs from InterCiter’s function/stance ontology; using them requires an explicit mapping study (</w:t>
      </w:r>
      <w:hyperlink r:id="rId31">
        <w:r>
          <w:rPr>
            <w:rStyle w:val="Hyperlink"/>
          </w:rPr>
          <w:t xml:space="preserve">evaluation.md</w:t>
        </w:r>
      </w:hyperlink>
      <w:r>
        <w:t xml:space="preserve">).</w:t>
      </w:r>
    </w:p>
    <w:p>
      <w:pPr>
        <w:pStyle w:val="Compact"/>
        <w:numPr>
          <w:ilvl w:val="0"/>
          <w:numId w:val="1010"/>
        </w:numPr>
      </w:pPr>
      <w:r>
        <w:rPr>
          <w:b/>
          <w:bCs/>
        </w:rPr>
        <w:t xml:space="preserve">Identifier mappings</w:t>
      </w:r>
      <w:r>
        <w:t xml:space="preserve"> </w:t>
      </w:r>
      <w:r>
        <w:t xml:space="preserve">(</w:t>
      </w:r>
      <w:r>
        <w:rPr>
          <w:rStyle w:val="VerbatimChar"/>
        </w:rPr>
        <w:t xml:space="preserve">corpusId</w:t>
      </w:r>
      <w:r>
        <w:t xml:space="preserve">/DOI/PMID) →</w:t>
      </w:r>
      <w:r>
        <w:t xml:space="preserve"> </w:t>
      </w:r>
      <w:r>
        <w:rPr>
          <w:rStyle w:val="VerbatimChar"/>
        </w:rPr>
        <w:t xml:space="preserve">PaperWork</w:t>
      </w:r>
      <w:r>
        <w:t xml:space="preserve">. A DOI or PMID does</w:t>
      </w:r>
      <w:r>
        <w:t xml:space="preserve"> </w:t>
      </w:r>
      <w:r>
        <w:rPr>
          <w:b/>
          <w:bCs/>
        </w:rPr>
        <w:t xml:space="preserve">not</w:t>
      </w:r>
      <w:r>
        <w:t xml:space="preserve"> </w:t>
      </w:r>
      <w:r>
        <w:t xml:space="preserve">guarantee accessible full text; metadata, citation context, full text, and embeddings all have different coverage and licensing, tracked per</w:t>
      </w:r>
      <w:r>
        <w:t xml:space="preserve"> </w:t>
      </w:r>
      <w:r>
        <w:rPr>
          <w:rStyle w:val="VerbatimChar"/>
        </w:rPr>
        <w:t xml:space="preserve">PaperVersion</w:t>
      </w:r>
      <w:r>
        <w:t xml:space="preserve">.</w:t>
      </w:r>
    </w:p>
    <w:bookmarkStart w:id="52" w:name="domain-slice-defined-reproducibly"/>
    <w:p>
      <w:pPr>
        <w:pStyle w:val="Heading3"/>
      </w:pPr>
      <w:r>
        <w:t xml:space="preserve">3.3.1 Domain slice, defined reproducibly</w:t>
      </w:r>
    </w:p>
    <w:p>
      <w:pPr>
        <w:pStyle w:val="FirstParagraph"/>
      </w:pPr>
      <w:r>
        <w:t xml:space="preserve">Ingest a domain slice, not the full corpus — but the slice must be</w:t>
      </w:r>
      <w:r>
        <w:t xml:space="preserve"> </w:t>
      </w:r>
      <w:r>
        <w:rPr>
          <w:b/>
          <w:bCs/>
        </w:rPr>
        <w:t xml:space="preserve">reproducible</w:t>
      </w:r>
      <w:r>
        <w:t xml:space="preserve">: pinned corpus release version + explicit inclusion criteria, recorded so the corpus can be reconstructed and cited in the evaluation.</w:t>
      </w:r>
    </w:p>
    <w:bookmarkEnd w:id="52"/>
    <w:bookmarkStart w:id="53" w:name="paper-availability-states"/>
    <w:p>
      <w:pPr>
        <w:pStyle w:val="Heading3"/>
      </w:pPr>
      <w:r>
        <w:t xml:space="preserve">3.3.2 Paper availability states</w:t>
      </w:r>
    </w:p>
    <w:p>
      <w:pPr>
        <w:pStyle w:val="FirstParagraph"/>
      </w:pPr>
      <w:r>
        <w:t xml:space="preserve">A single</w:t>
      </w:r>
      <w:r>
        <w:t xml:space="preserve"> </w:t>
      </w:r>
      <w:r>
        <w:t xml:space="preserve">“stub paper”</w:t>
      </w:r>
      <w:r>
        <w:t xml:space="preserve"> </w:t>
      </w:r>
      <w:r>
        <w:t xml:space="preserve">state is too coarse, so every paper the graph can reach carries an explicit availability state: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rPr>
                <w:rStyle w:val="VerbatimChar"/>
              </w:rPr>
              <w:t xml:space="preserve">full_text_extracted</w:t>
            </w:r>
          </w:p>
        </w:tc>
        <w:tc>
          <w:tcPr/>
          <w:p>
            <w:pPr>
              <w:pStyle w:val="Compact"/>
            </w:pPr>
            <w:r>
              <w:t xml:space="preserve">Parsed full text; claims extracted or extractable</w:t>
            </w:r>
          </w:p>
        </w:tc>
      </w:tr>
      <w:tr>
        <w:tc>
          <w:tcPr/>
          <w:p>
            <w:pPr>
              <w:pStyle w:val="Compact"/>
            </w:pPr>
            <w:r>
              <w:rPr>
                <w:rStyle w:val="VerbatimChar"/>
              </w:rPr>
              <w:t xml:space="preserve">full_text_unavailable</w:t>
            </w:r>
          </w:p>
        </w:tc>
        <w:tc>
          <w:tcPr/>
          <w:p>
            <w:pPr>
              <w:pStyle w:val="Compact"/>
            </w:pPr>
            <w:r>
              <w:t xml:space="preserve">Known paper, no licensed/accessible full text</w:t>
            </w:r>
          </w:p>
        </w:tc>
      </w:tr>
      <w:tr>
        <w:tc>
          <w:tcPr/>
          <w:p>
            <w:pPr>
              <w:pStyle w:val="Compact"/>
            </w:pPr>
            <w:r>
              <w:rPr>
                <w:rStyle w:val="VerbatimChar"/>
              </w:rPr>
              <w:t xml:space="preserve">metadata_stub</w:t>
            </w:r>
          </w:p>
        </w:tc>
        <w:tc>
          <w:tcPr/>
          <w:p>
            <w:pPr>
              <w:pStyle w:val="Compact"/>
            </w:pPr>
            <w:r>
              <w:t xml:space="preserve">Out-of-slice; identifiers + minimal metadata only</w:t>
            </w:r>
          </w:p>
        </w:tc>
      </w:tr>
      <w:tr>
        <w:tc>
          <w:tcPr/>
          <w:p>
            <w:pPr>
              <w:pStyle w:val="Compact"/>
            </w:pPr>
            <w:r>
              <w:rPr>
                <w:rStyle w:val="VerbatimChar"/>
              </w:rPr>
              <w:t xml:space="preserve">hydration_queued</w:t>
            </w:r>
          </w:p>
        </w:tc>
        <w:tc>
          <w:tcPr/>
          <w:p>
            <w:pPr>
              <w:pStyle w:val="Compact"/>
            </w:pPr>
            <w:r>
              <w:t xml:space="preserve">Stub queued for on-demand full ingestion</w:t>
            </w:r>
          </w:p>
        </w:tc>
      </w:tr>
      <w:tr>
        <w:tc>
          <w:tcPr/>
          <w:p>
            <w:pPr>
              <w:pStyle w:val="Compact"/>
            </w:pPr>
            <w:r>
              <w:rPr>
                <w:rStyle w:val="VerbatimChar"/>
              </w:rPr>
              <w:t xml:space="preserve">ingestion_failed</w:t>
            </w:r>
          </w:p>
        </w:tc>
        <w:tc>
          <w:tcPr/>
          <w:p>
            <w:pPr>
              <w:pStyle w:val="Compact"/>
            </w:pPr>
            <w:r>
              <w:t xml:space="preserve">Attempted and failed; error retained</w:t>
            </w:r>
          </w:p>
        </w:tc>
      </w:tr>
    </w:tbl>
    <w:p>
      <w:pPr>
        <w:pStyle w:val="BodyText"/>
      </w:pPr>
      <w:r>
        <w:t xml:space="preserve">A stub is walkable</w:t>
      </w:r>
      <w:r>
        <w:t xml:space="preserve"> </w:t>
      </w:r>
      <w:r>
        <w:rPr>
          <w:i/>
          <w:iCs/>
        </w:rPr>
        <w:t xml:space="preserve">bibliographically</w:t>
      </w:r>
      <w:r>
        <w:t xml:space="preserve"> </w:t>
      </w:r>
      <w:r>
        <w:t xml:space="preserve">but provides no validated claim-level continuation, and the API says so rather than letting a paper-level hop masquerade as a claim-level one. On-demand hydration (user drills into a stub) gets caching, retry/backoff, rate-limit handling, and degraded states — it calls an external API on a user-facing path.</w:t>
      </w:r>
    </w:p>
    <w:bookmarkEnd w:id="53"/>
    <w:bookmarkEnd w:id="54"/>
    <w:bookmarkStart w:id="55" w:name="async-execution-and-jobs"/>
    <w:p>
      <w:pPr>
        <w:pStyle w:val="Heading2"/>
      </w:pPr>
      <w:r>
        <w:t xml:space="preserve">3.4 Async execution and jobs</w:t>
      </w:r>
    </w:p>
    <w:p>
      <w:pPr>
        <w:pStyle w:val="Compact"/>
        <w:numPr>
          <w:ilvl w:val="0"/>
          <w:numId w:val="1011"/>
        </w:numPr>
      </w:pPr>
      <w:r>
        <w:rPr>
          <w:b/>
          <w:bCs/>
        </w:rPr>
        <w:t xml:space="preserve">Internal:</w:t>
      </w:r>
      <w:r>
        <w:t xml:space="preserve"> </w:t>
      </w:r>
      <w:r>
        <w:t xml:space="preserve">message queue (SQS / RabbitMQ / Redis) with worker pull — required for bulk ingestion regardless.</w:t>
      </w:r>
    </w:p>
    <w:p>
      <w:pPr>
        <w:pStyle w:val="Compact"/>
        <w:numPr>
          <w:ilvl w:val="0"/>
          <w:numId w:val="1011"/>
        </w:numPr>
      </w:pPr>
      <w:r>
        <w:rPr>
          <w:b/>
          <w:bCs/>
        </w:rPr>
        <w:t xml:space="preserve">External:</w:t>
      </w:r>
      <w:r>
        <w:t xml:space="preserve"> </w:t>
      </w:r>
      <w:r>
        <w:t xml:space="preserve">polling on a</w:t>
      </w:r>
      <w:r>
        <w:t xml:space="preserve"> </w:t>
      </w:r>
      <w:r>
        <w:rPr>
          <w:b/>
          <w:bCs/>
        </w:rPr>
        <w:t xml:space="preserve">job resource</w:t>
      </w:r>
      <w:r>
        <w:t xml:space="preserve"> </w:t>
      </w:r>
      <w:r>
        <w:t xml:space="preserve">for the MVP; webhooks on the same abstraction in phase 2. One paper can have many jobs over time (parse, extract, re-extract, hydrate), so jobs are first-class resources, not a single per-paper status field (</w:t>
      </w:r>
      <w:hyperlink r:id="rId49">
        <w:r>
          <w:rPr>
            <w:rStyle w:val="Hyperlink"/>
          </w:rPr>
          <w:t xml:space="preserve">api.md</w:t>
        </w:r>
      </w:hyperlink>
      <w:r>
        <w:t xml:space="preserve">).</w:t>
      </w:r>
    </w:p>
    <w:bookmarkEnd w:id="55"/>
    <w:bookmarkStart w:id="56" w:name="ingestion-security"/>
    <w:p>
      <w:pPr>
        <w:pStyle w:val="Heading2"/>
      </w:pPr>
      <w:r>
        <w:t xml:space="preserve">3.5 Ingestion security</w:t>
      </w:r>
    </w:p>
    <w:p>
      <w:pPr>
        <w:pStyle w:val="FirstParagraph"/>
      </w:pPr>
      <w:r>
        <w:t xml:space="preserve">The pipeline processes untrusted documents and feeds them to LLMs. Minimum hardening, in-scope for the MVP:</w:t>
      </w:r>
    </w:p>
    <w:p>
      <w:pPr>
        <w:pStyle w:val="Compact"/>
        <w:numPr>
          <w:ilvl w:val="0"/>
          <w:numId w:val="1012"/>
        </w:numPr>
      </w:pPr>
      <w:r>
        <w:t xml:space="preserve">file-size limits and format validation before parsing;</w:t>
      </w:r>
    </w:p>
    <w:p>
      <w:pPr>
        <w:pStyle w:val="Compact"/>
        <w:numPr>
          <w:ilvl w:val="0"/>
          <w:numId w:val="1012"/>
        </w:numPr>
      </w:pPr>
      <w:r>
        <w:t xml:space="preserve">parser sandboxing and malware scanning;</w:t>
      </w:r>
    </w:p>
    <w:p>
      <w:pPr>
        <w:pStyle w:val="Compact"/>
        <w:numPr>
          <w:ilvl w:val="0"/>
          <w:numId w:val="1012"/>
        </w:numPr>
      </w:pPr>
      <w:r>
        <w:t xml:space="preserve">strict schema validation of all model output (an extraction that doesn’t parse is rejected, not patched);</w:t>
      </w:r>
    </w:p>
    <w:p>
      <w:pPr>
        <w:pStyle w:val="Compact"/>
        <w:numPr>
          <w:ilvl w:val="0"/>
          <w:numId w:val="1012"/>
        </w:numPr>
      </w:pPr>
      <w:r>
        <w:t xml:space="preserve">prompt-injection defenses: paper text is data, never instructions — extraction prompts must be robust to instruction-like content embedded in papers.</w:t>
      </w:r>
    </w:p>
    <w:bookmarkEnd w:id="56"/>
    <w:bookmarkStart w:id="57" w:name="auth"/>
    <w:p>
      <w:pPr>
        <w:pStyle w:val="Heading2"/>
      </w:pPr>
      <w:r>
        <w:t xml:space="preserve">3.6 Auth</w:t>
      </w:r>
    </w:p>
    <w:p>
      <w:pPr>
        <w:pStyle w:val="FirstParagraph"/>
      </w:pPr>
      <w:r>
        <w:t xml:space="preserve">Hybrid role-based (minimal —</w:t>
      </w:r>
      <w:r>
        <w:t xml:space="preserve"> </w:t>
      </w:r>
      <w:r>
        <w:rPr>
          <w:rStyle w:val="VerbatimChar"/>
        </w:rPr>
        <w:t xml:space="preserve">reviewer</w:t>
      </w:r>
      <w:r>
        <w:t xml:space="preserve">,</w:t>
      </w:r>
      <w:r>
        <w:t xml:space="preserve"> </w:t>
      </w:r>
      <w:r>
        <w:rPr>
          <w:rStyle w:val="VerbatimChar"/>
        </w:rPr>
        <w:t xml:space="preserve">admin</w:t>
      </w:r>
      <w:r>
        <w:t xml:space="preserve">) + ownership-based (per-user resources, own-authored interpretations). Ownership is modeled first-class from day one because retrofitting it is painful; the role layer stays minimal. Deferring public scoring (</w:t>
      </w:r>
      <w:hyperlink r:id="rId32">
        <w:r>
          <w:rPr>
            <w:rStyle w:val="Hyperlink"/>
          </w:rPr>
          <w:t xml:space="preserve">scoring-and-review.md</w:t>
        </w:r>
      </w:hyperlink>
      <w:r>
        <w:t xml:space="preserve">) removes most identity/abuse surface from the MVP.</w:t>
      </w:r>
    </w:p>
    <w:bookmarkEnd w:id="57"/>
    <w:bookmarkEnd w:id="58"/>
    <w:bookmarkStart w:id="65" w:name="interciter-scoring-and-human-review"/>
    <w:p>
      <w:pPr>
        <w:pStyle w:val="Heading1"/>
      </w:pPr>
      <w:r>
        <w:t xml:space="preserve">4. InterCiter — Scoring and Human Review</w:t>
      </w:r>
    </w:p>
    <w:bookmarkStart w:id="59" w:name="confidence-signals-stay-decomposed"/>
    <w:p>
      <w:pPr>
        <w:pStyle w:val="Heading2"/>
      </w:pPr>
      <w:r>
        <w:t xml:space="preserve">4.1 Confidence signals stay decomposed</w:t>
      </w:r>
    </w:p>
    <w:p>
      <w:pPr>
        <w:pStyle w:val="FirstParagraph"/>
      </w:pPr>
      <w:r>
        <w:t xml:space="preserve">Confidence is exposed as separate signals, never compressed into one global score per claim. A single blended number — extraction confidence + review status + corroboration, with an aggregate paper trust weight feeding ranking — would fold too many distinct questions into one unexplained scalar, and it would conflate model agreement with literature corroboration, which are different kinds of evidence.</w:t>
      </w:r>
    </w:p>
    <w:bookmarkEnd w:id="59"/>
    <w:bookmarkStart w:id="60" w:name="decomposed-signals"/>
    <w:p>
      <w:pPr>
        <w:pStyle w:val="Heading2"/>
      </w:pPr>
      <w:r>
        <w:t xml:space="preserve">4.2 Decomposed signals</w:t>
      </w:r>
    </w:p>
    <w:p>
      <w:pPr>
        <w:pStyle w:val="FirstParagraph"/>
      </w:pPr>
      <w:r>
        <w:t xml:space="preserve">Each signal is stored and exposed</w:t>
      </w:r>
      <w:r>
        <w:t xml:space="preserve"> </w:t>
      </w:r>
      <w:r>
        <w:rPr>
          <w:b/>
          <w:bCs/>
        </w:rPr>
        <w:t xml:space="preserve">separately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Question it answers</w:t>
            </w:r>
          </w:p>
        </w:tc>
      </w:tr>
      <w:tr>
        <w:tc>
          <w:tcPr/>
          <w:p>
            <w:pPr>
              <w:pStyle w:val="Compact"/>
            </w:pPr>
            <w:r>
              <w:t xml:space="preserve">Extraction fidelity</w:t>
            </w:r>
          </w:p>
        </w:tc>
        <w:tc>
          <w:tcPr/>
          <w:p>
            <w:pPr>
              <w:pStyle w:val="Compact"/>
            </w:pPr>
            <w:r>
              <w:t xml:space="preserve">Did the system correctly capture and normalize the source passage?</w:t>
            </w:r>
          </w:p>
        </w:tc>
      </w:tr>
      <w:tr>
        <w:tc>
          <w:tcPr/>
          <w:p>
            <w:pPr>
              <w:pStyle w:val="Compact"/>
            </w:pPr>
            <w:r>
              <w:t xml:space="preserve">Target-link confidence</w:t>
            </w:r>
          </w:p>
        </w:tc>
        <w:tc>
          <w:tcPr/>
          <w:p>
            <w:pPr>
              <w:pStyle w:val="Compact"/>
            </w:pPr>
            <w:r>
              <w:t xml:space="preserve">Did it identify the correct cited claim?</w:t>
            </w:r>
          </w:p>
        </w:tc>
      </w:tr>
      <w:tr>
        <w:tc>
          <w:tcPr/>
          <w:p>
            <w:pPr>
              <w:pStyle w:val="Compact"/>
            </w:pPr>
            <w:r>
              <w:t xml:space="preserve">Stance confidence</w:t>
            </w:r>
          </w:p>
        </w:tc>
        <w:tc>
          <w:tcPr/>
          <w:p>
            <w:pPr>
              <w:pStyle w:val="Compact"/>
            </w:pPr>
            <w:r>
              <w:t xml:space="preserve">Did it correctly classify support / contradict / neutral?</w:t>
            </w:r>
          </w:p>
        </w:tc>
      </w:tr>
      <w:tr>
        <w:tc>
          <w:tcPr/>
          <w:p>
            <w:pPr>
              <w:pStyle w:val="Compact"/>
            </w:pPr>
            <w:r>
              <w:t xml:space="preserve">Review status</w:t>
            </w:r>
          </w:p>
        </w:tc>
        <w:tc>
          <w:tcPr/>
          <w:p>
            <w:pPr>
              <w:pStyle w:val="Compact"/>
            </w:pPr>
            <w:r>
              <w:t xml:space="preserve">Has a reviewer accepted, rejected, or modified it?</w:t>
            </w:r>
          </w:p>
        </w:tc>
      </w:tr>
      <w:tr>
        <w:tc>
          <w:tcPr/>
          <w:p>
            <w:pPr>
              <w:pStyle w:val="Compact"/>
            </w:pPr>
            <w:r>
              <w:t xml:space="preserve">Model agreement</w:t>
            </w:r>
          </w:p>
        </w:tc>
        <w:tc>
          <w:tcPr/>
          <w:p>
            <w:pPr>
              <w:pStyle w:val="Compact"/>
            </w:pPr>
            <w:r>
              <w:t xml:space="preserve">Did multiple extraction methods produce compatible interpretations of the</w:t>
            </w:r>
            <w:r>
              <w:t xml:space="preserve"> </w:t>
            </w:r>
            <w:r>
              <w:rPr>
                <w:i/>
                <w:iCs/>
              </w:rPr>
              <w:t xml:space="preserve">same occurrence</w:t>
            </w:r>
            <w:r>
              <w:t xml:space="preserve">?</w:t>
            </w:r>
          </w:p>
        </w:tc>
      </w:tr>
      <w:tr>
        <w:tc>
          <w:tcPr/>
          <w:p>
            <w:pPr>
              <w:pStyle w:val="Compact"/>
            </w:pPr>
            <w:r>
              <w:t xml:space="preserve">Literature evidence balance</w:t>
            </w:r>
          </w:p>
        </w:tc>
        <w:tc>
          <w:tcPr/>
          <w:p>
            <w:pPr>
              <w:pStyle w:val="Compact"/>
            </w:pPr>
            <w:r>
              <w:t xml:space="preserve">How many</w:t>
            </w:r>
            <w:r>
              <w:t xml:space="preserve"> </w:t>
            </w:r>
            <w:r>
              <w:rPr>
                <w:i/>
                <w:iCs/>
              </w:rPr>
              <w:t xml:space="preserve">independent papers</w:t>
            </w:r>
            <w:r>
              <w:t xml:space="preserve"> </w:t>
            </w:r>
            <w:r>
              <w:t xml:space="preserve">support or contradict the proposition (via cluster membership)?</w:t>
            </w:r>
          </w:p>
        </w:tc>
      </w:tr>
      <w:tr>
        <w:tc>
          <w:tcPr/>
          <w:p>
            <w:pPr>
              <w:pStyle w:val="Compact"/>
            </w:pPr>
            <w:r>
              <w:t xml:space="preserve">Source-quality assessment</w:t>
            </w:r>
          </w:p>
        </w:tc>
        <w:tc>
          <w:tcPr/>
          <w:p>
            <w:pPr>
              <w:pStyle w:val="Compact"/>
            </w:pPr>
            <w:r>
              <w:t xml:space="preserve">What quality metadata applies to the source paper?</w:t>
            </w:r>
          </w:p>
        </w:tc>
      </w:tr>
    </w:tbl>
    <w:p>
      <w:pPr>
        <w:pStyle w:val="BodyText"/>
      </w:pPr>
      <w:r>
        <w:t xml:space="preserve">The model-agreement / corroboration split is the load-bearing one:</w:t>
      </w:r>
    </w:p>
    <w:p>
      <w:pPr>
        <w:pStyle w:val="BlockText"/>
      </w:pPr>
      <w:r>
        <w:t xml:space="preserve">Two models agreeing on one sentence may reflect shared training data and correlated errors. Two independent papers making the same finding is literature corroboration. They are never summed into one number.</w:t>
      </w:r>
    </w:p>
    <w:bookmarkEnd w:id="60"/>
    <w:bookmarkStart w:id="61" w:name="assessment-records"/>
    <w:p>
      <w:pPr>
        <w:pStyle w:val="Heading2"/>
      </w:pPr>
      <w:r>
        <w:t xml:space="preserve">4.3 Assessment records</w:t>
      </w:r>
    </w:p>
    <w:p>
      <w:pPr>
        <w:pStyle w:val="FirstParagraph"/>
      </w:pPr>
      <w:r>
        <w:t xml:space="preserve">Every derived score is a versioned</w:t>
      </w:r>
      <w:r>
        <w:t xml:space="preserve"> </w:t>
      </w:r>
      <w:r>
        <w:rPr>
          <w:rStyle w:val="VerbatimChar"/>
          <w:b/>
          <w:bCs/>
        </w:rPr>
        <w:t xml:space="preserve">Assessment</w:t>
      </w:r>
      <w:r>
        <w:t xml:space="preserve"> </w:t>
      </w:r>
      <w:r>
        <w:t xml:space="preserve">record — subject, assessment type, component inputs, algorithm version, computed value, timestamp — rebuildable and explainable, never a mutable field on a claim. If a formula changes, old assessments remain inspectable and new ones are computed alongside.</w:t>
      </w:r>
    </w:p>
    <w:p>
      <w:pPr>
        <w:pStyle w:val="BodyText"/>
      </w:pPr>
      <w:r>
        <w:t xml:space="preserve">Any future composite ranking score is just another</w:t>
      </w:r>
      <w:r>
        <w:t xml:space="preserve"> </w:t>
      </w:r>
      <w:r>
        <w:rPr>
          <w:rStyle w:val="VerbatimChar"/>
        </w:rPr>
        <w:t xml:space="preserve">Assessment</w:t>
      </w:r>
      <w:r>
        <w:t xml:space="preserve"> </w:t>
      </w:r>
      <w:r>
        <w:t xml:space="preserve">type whose inputs are the components above, introduced only after the components are individually validated (</w:t>
      </w:r>
      <w:hyperlink r:id="rId31">
        <w:r>
          <w:rPr>
            <w:rStyle w:val="Hyperlink"/>
          </w:rPr>
          <w:t xml:space="preserve">evaluation.md</w:t>
        </w:r>
      </w:hyperlink>
      <w:r>
        <w:t xml:space="preserve">).</w:t>
      </w:r>
    </w:p>
    <w:bookmarkEnd w:id="61"/>
    <w:bookmarkStart w:id="62" w:name="Xc02e262fe3c19569e0b27e5de0eab84bb03b1cc"/>
    <w:p>
      <w:pPr>
        <w:pStyle w:val="Heading2"/>
      </w:pPr>
      <w:r>
        <w:t xml:space="preserve">4.4 Deferred: user scores and paper trust weighting</w:t>
      </w:r>
    </w:p>
    <w:p>
      <w:pPr>
        <w:pStyle w:val="FirstParagraph"/>
      </w:pPr>
      <w:r>
        <w:rPr>
          <w:rStyle w:val="VerbatimChar"/>
        </w:rPr>
        <w:t xml:space="preserve">UserScore</w:t>
      </w:r>
      <w:r>
        <w:t xml:space="preserve"> </w:t>
      </w:r>
      <w:r>
        <w:t xml:space="preserve">(per-user claim/paper scores,</w:t>
      </w:r>
      <w:r>
        <w:t xml:space="preserve"> </w:t>
      </w:r>
      <w:r>
        <w:rPr>
          <w:rStyle w:val="VerbatimChar"/>
        </w:rPr>
        <w:t xml:space="preserve">scope: public | private</w:t>
      </w:r>
      <w:r>
        <w:t xml:space="preserve">) and</w:t>
      </w:r>
      <w:r>
        <w:t xml:space="preserve"> </w:t>
      </w:r>
      <w:r>
        <w:rPr>
          <w:rStyle w:val="VerbatimChar"/>
        </w:rPr>
        <w:t xml:space="preserve">TrustWeight</w:t>
      </w:r>
      <w:r>
        <w:t xml:space="preserve"> </w:t>
      </w:r>
      <w:r>
        <w:t xml:space="preserve">(per-user paper trust entries feeding a computed aggregate) are</w:t>
      </w:r>
      <w:r>
        <w:t xml:space="preserve"> </w:t>
      </w:r>
      <w:r>
        <w:rPr>
          <w:b/>
          <w:bCs/>
        </w:rPr>
        <w:t xml:space="preserve">deferred to phase 2</w:t>
      </w:r>
      <w:r>
        <w:t xml:space="preserve">. They keep the overlay pattern — separate entities, never mutable fields on the target, no last-writer-wins — but shipping them in the MVP would import identity, moderation, abuse-control, and manipulation problems, and a scalar</w:t>
      </w:r>
      <w:r>
        <w:t xml:space="preserve"> </w:t>
      </w:r>
      <w:r>
        <w:t xml:space="preserve">“trust”</w:t>
      </w:r>
      <w:r>
        <w:t xml:space="preserve"> </w:t>
      </w:r>
      <w:r>
        <w:t xml:space="preserve">number risks encoding prestige and popularity bias. Before phase 2,</w:t>
      </w:r>
      <w:r>
        <w:t xml:space="preserve"> </w:t>
      </w:r>
      <w:r>
        <w:t xml:space="preserve">“what exactly are users rating?”</w:t>
      </w:r>
      <w:r>
        <w:t xml:space="preserve"> </w:t>
      </w:r>
      <w:r>
        <w:t xml:space="preserve">needs a real answer.</w:t>
      </w:r>
    </w:p>
    <w:p>
      <w:pPr>
        <w:pStyle w:val="SourceCode"/>
      </w:pPr>
      <w:r>
        <w:rPr>
          <w:rStyle w:val="VerbatimChar"/>
        </w:rPr>
        <w:t xml:space="preserve">UserScore  --[scores]--&gt; ClaimInterpretation | PaperWork     (phase 2)</w:t>
      </w:r>
      <w:r>
        <w:br/>
      </w:r>
      <w:r>
        <w:rPr>
          <w:rStyle w:val="VerbatimChar"/>
        </w:rPr>
        <w:t xml:space="preserve">TrustWeight --[weighs]--&gt; PaperWork                          (phase 2)</w:t>
      </w:r>
      <w:r>
        <w:br/>
      </w:r>
      <w:r>
        <w:rPr>
          <w:rStyle w:val="VerbatimChar"/>
        </w:rPr>
        <w:t xml:space="preserve">  user_id, value, scope: private | public, created_at</w:t>
      </w:r>
    </w:p>
    <w:bookmarkEnd w:id="62"/>
    <w:bookmarkStart w:id="64" w:name="human-review-workflow"/>
    <w:p>
      <w:pPr>
        <w:pStyle w:val="Heading2"/>
      </w:pPr>
      <w:r>
        <w:t xml:space="preserve">4.5 Human-review workflow</w:t>
      </w:r>
    </w:p>
    <w:p>
      <w:pPr>
        <w:pStyle w:val="FirstParagraph"/>
      </w:pPr>
      <w:r>
        <w:t xml:space="preserve">Every human action is additive and lands in the system of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Behavior</w:t>
            </w:r>
          </w:p>
        </w:tc>
      </w:tr>
      <w:tr>
        <w:tc>
          <w:tcPr/>
          <w:p>
            <w:pPr>
              <w:pStyle w:val="Compact"/>
            </w:pPr>
            <w:r>
              <w:rPr>
                <w:b/>
                <w:bCs/>
              </w:rPr>
              <w:t xml:space="preserve">Revise an interpretation</w:t>
            </w:r>
          </w:p>
        </w:tc>
        <w:tc>
          <w:tcPr/>
          <w:p>
            <w:pPr>
              <w:pStyle w:val="Compact"/>
            </w:pPr>
            <w:r>
              <w:t xml:space="preserve">New</w:t>
            </w:r>
            <w:r>
              <w:t xml:space="preserve"> </w:t>
            </w:r>
            <w:r>
              <w:rPr>
                <w:rStyle w:val="VerbatimChar"/>
              </w:rPr>
              <w:t xml:space="preserve">ClaimInterpretation</w:t>
            </w:r>
            <w:r>
              <w:t xml:space="preserve"> </w:t>
            </w:r>
            <w:r>
              <w:t xml:space="preserve">with</w:t>
            </w:r>
            <w:r>
              <w:t xml:space="preserve"> </w:t>
            </w:r>
            <w:r>
              <w:rPr>
                <w:rStyle w:val="VerbatimChar"/>
              </w:rPr>
              <w:t xml:space="preserve">parent_interpretation_ids</w:t>
            </w:r>
            <w:r>
              <w:t xml:space="preserve">; original untouched. Materially different revisions mark dependent</w:t>
            </w:r>
            <w:r>
              <w:t xml:space="preserve"> </w:t>
            </w:r>
            <w:r>
              <w:rPr>
                <w:rStyle w:val="VerbatimChar"/>
              </w:rPr>
              <w:t xml:space="preserve">RelationAssertion</w:t>
            </w:r>
            <w:r>
              <w:t xml:space="preserve">s</w:t>
            </w:r>
            <w:r>
              <w:t xml:space="preserve"> </w:t>
            </w:r>
            <w:r>
              <w:rPr>
                <w:rStyle w:val="VerbatimChar"/>
              </w:rPr>
              <w:t xml:space="preserve">stale_pending_review</w:t>
            </w:r>
            <w:r>
              <w:t xml:space="preserve"> </w:t>
            </w:r>
            <w:r>
              <w:t xml:space="preserve">(</w:t>
            </w:r>
            <w:hyperlink r:id="rId46">
              <w:r>
                <w:rPr>
                  <w:rStyle w:val="Hyperlink"/>
                </w:rPr>
                <w:t xml:space="preserve">data-model.md</w:t>
              </w:r>
            </w:hyperlink>
            <w:r>
              <w:t xml:space="preserve">). Restricted to original author or</w:t>
            </w:r>
            <w:r>
              <w:t xml:space="preserve"> </w:t>
            </w:r>
            <w:r>
              <w:rPr>
                <w:rStyle w:val="VerbatimChar"/>
              </w:rPr>
              <w:t xml:space="preserve">reviewer</w:t>
            </w:r>
            <w:r>
              <w:t xml:space="preserve">/</w:t>
            </w:r>
            <w:r>
              <w:rPr>
                <w:rStyle w:val="VerbatimChar"/>
              </w:rPr>
              <w:t xml:space="preserve">admin</w:t>
            </w:r>
            <w:r>
              <w:t xml:space="preserve">.</w:t>
            </w:r>
          </w:p>
        </w:tc>
      </w:tr>
      <w:tr>
        <w:tc>
          <w:tcPr/>
          <w:p>
            <w:pPr>
              <w:pStyle w:val="Compact"/>
            </w:pPr>
            <w:r>
              <w:rPr>
                <w:b/>
                <w:bCs/>
              </w:rPr>
              <w:t xml:space="preserve">Create a claim</w:t>
            </w:r>
          </w:p>
        </w:tc>
        <w:tc>
          <w:tcPr/>
          <w:p>
            <w:pPr>
              <w:pStyle w:val="Compact"/>
            </w:pPr>
            <w:r>
              <w:t xml:space="preserve">Human-authored</w:t>
            </w:r>
            <w:r>
              <w:t xml:space="preserve"> </w:t>
            </w:r>
            <w:r>
              <w:rPr>
                <w:rStyle w:val="VerbatimChar"/>
              </w:rPr>
              <w:t xml:space="preserve">ClaimOccurrence</w:t>
            </w:r>
            <w:r>
              <w:t xml:space="preserve"> </w:t>
            </w:r>
            <w:r>
              <w:t xml:space="preserve">+</w:t>
            </w:r>
            <w:r>
              <w:t xml:space="preserve"> </w:t>
            </w:r>
            <w:r>
              <w:rPr>
                <w:rStyle w:val="VerbatimChar"/>
              </w:rPr>
              <w:t xml:space="preserve">ClaimInterpretation</w:t>
            </w:r>
            <w:r>
              <w:t xml:space="preserve"> </w:t>
            </w:r>
            <w:r>
              <w:t xml:space="preserve">(or interpretation-only, attached to an existing occurrence).</w:t>
            </w:r>
          </w:p>
        </w:tc>
      </w:tr>
      <w:tr>
        <w:tc>
          <w:tcPr/>
          <w:p>
            <w:pPr>
              <w:pStyle w:val="Compact"/>
            </w:pPr>
            <w:r>
              <w:rPr>
                <w:b/>
                <w:bCs/>
              </w:rPr>
              <w:t xml:space="preserve">Review an assertion</w:t>
            </w:r>
          </w:p>
        </w:tc>
        <w:tc>
          <w:tcPr/>
          <w:p>
            <w:pPr>
              <w:pStyle w:val="Compact"/>
            </w:pPr>
            <w:r>
              <w:rPr>
                <w:rStyle w:val="VerbatimChar"/>
              </w:rPr>
              <w:t xml:space="preserve">ReviewDecision</w:t>
            </w:r>
            <w:r>
              <w:t xml:space="preserve"> </w:t>
            </w:r>
            <w:r>
              <w:t xml:space="preserve">on a specific dimension (extraction fidelity, stance, target link) with rationale; flips the assertion’s status to</w:t>
            </w:r>
            <w:r>
              <w:t xml:space="preserve"> </w:t>
            </w:r>
            <w:r>
              <w:rPr>
                <w:rStyle w:val="VerbatimChar"/>
              </w:rPr>
              <w:t xml:space="preserve">accepted</w:t>
            </w:r>
            <w:r>
              <w:t xml:space="preserve"> </w:t>
            </w:r>
            <w:r>
              <w:t xml:space="preserve">/</w:t>
            </w:r>
            <w:r>
              <w:t xml:space="preserve"> </w:t>
            </w:r>
            <w:r>
              <w:rPr>
                <w:rStyle w:val="VerbatimChar"/>
              </w:rPr>
              <w:t xml:space="preserve">rejected</w:t>
            </w:r>
            <w:r>
              <w:t xml:space="preserve">.</w:t>
            </w:r>
          </w:p>
        </w:tc>
      </w:tr>
      <w:tr>
        <w:tc>
          <w:tcPr/>
          <w:p>
            <w:pPr>
              <w:pStyle w:val="Compact"/>
            </w:pPr>
            <w:r>
              <w:rPr>
                <w:b/>
                <w:bCs/>
              </w:rPr>
              <w:t xml:space="preserve">Fix a bad cluster</w:t>
            </w:r>
          </w:p>
        </w:tc>
        <w:tc>
          <w:tcPr/>
          <w:p>
            <w:pPr>
              <w:pStyle w:val="Compact"/>
            </w:pPr>
            <w:r>
              <w:t xml:space="preserve">Set the offending</w:t>
            </w:r>
            <w:r>
              <w:t xml:space="preserve"> </w:t>
            </w:r>
            <w:r>
              <w:rPr>
                <w:rStyle w:val="VerbatimChar"/>
              </w:rPr>
              <w:t xml:space="preserve">ClusterMembership</w:t>
            </w:r>
            <w:r>
              <w:t xml:space="preserve"> </w:t>
            </w:r>
            <w:r>
              <w:t xml:space="preserve">to</w:t>
            </w:r>
            <w:r>
              <w:t xml:space="preserve"> </w:t>
            </w:r>
            <w:r>
              <w:rPr>
                <w:rStyle w:val="VerbatimChar"/>
              </w:rPr>
              <w:t xml:space="preserve">removed</w:t>
            </w:r>
            <w:r>
              <w:t xml:space="preserve">. No node reconstruction, no edge un-copying — memberships are the only thing that changes.</w:t>
            </w:r>
          </w:p>
        </w:tc>
      </w:tr>
    </w:tbl>
    <w:p>
      <w:pPr>
        <w:pStyle w:val="BodyText"/>
      </w:pPr>
      <w:r>
        <w:rPr>
          <w:rStyle w:val="VerbatimChar"/>
        </w:rPr>
        <w:t xml:space="preserve">ReviewDecision</w:t>
      </w:r>
      <w:r>
        <w:t xml:space="preserve">s are per-dimension deliberately: a reviewer can confirm the stance while rejecting the target link, and the evaluation pipeline consumes these as adjudicated labels.</w:t>
      </w:r>
    </w:p>
    <w:bookmarkStart w:id="63" w:name="review-queue-phase-2"/>
    <w:p>
      <w:pPr>
        <w:pStyle w:val="Heading3"/>
      </w:pPr>
      <w:r>
        <w:t xml:space="preserve">4.5.1 Review queue — phase 2</w:t>
      </w:r>
    </w:p>
    <w:p>
      <w:pPr>
        <w:pStyle w:val="FirstParagraph"/>
      </w:pPr>
      <w:r>
        <w:t xml:space="preserve">Prioritization (lowest-confidence first, contested-first, high-value-papers first) is a query over data already stored (assessments, review statuses, stance conflicts within clusters). No schema work is needed now; only the ranking policy is deferred.</w:t>
      </w:r>
    </w:p>
    <w:bookmarkEnd w:id="63"/>
    <w:bookmarkEnd w:id="64"/>
    <w:bookmarkEnd w:id="65"/>
    <w:bookmarkStart w:id="72" w:name="interciter-evaluation-plan"/>
    <w:p>
      <w:pPr>
        <w:pStyle w:val="Heading1"/>
      </w:pPr>
      <w:r>
        <w:t xml:space="preserve">5. InterCiter — Evaluation Plan</w:t>
      </w:r>
    </w:p>
    <w:p>
      <w:pPr>
        <w:pStyle w:val="FirstParagraph"/>
      </w:pPr>
      <w:r>
        <w:t xml:space="preserve">Evaluation is a first-class component of the design, not a citation-intent shortcut: Semantic Scholar’s labels are not InterCiter’s ontology, so they cannot stand in for a real evaluation story. For the grant, this is also the methodology section — and the annotation corpus is the</w:t>
      </w:r>
      <w:r>
        <w:t xml:space="preserve"> </w:t>
      </w:r>
      <w:r>
        <w:rPr>
          <w:b/>
          <w:bCs/>
        </w:rPr>
        <w:t xml:space="preserve">budget crux</w:t>
      </w:r>
      <w:r>
        <w:t xml:space="preserve">, named as such rather than treated as a checkbox.</w:t>
      </w:r>
    </w:p>
    <w:bookmarkStart w:id="66" w:name="gold-corpus"/>
    <w:p>
      <w:pPr>
        <w:pStyle w:val="Heading2"/>
      </w:pPr>
      <w:r>
        <w:t xml:space="preserve">5.1 Gold corpus</w:t>
      </w:r>
    </w:p>
    <w:p>
      <w:pPr>
        <w:pStyle w:val="FirstParagraph"/>
      </w:pPr>
      <w:r>
        <w:t xml:space="preserve">A manually adjudicated evaluation corpus over the MVP domain slice:</w:t>
      </w:r>
    </w:p>
    <w:p>
      <w:pPr>
        <w:pStyle w:val="Compact"/>
        <w:numPr>
          <w:ilvl w:val="0"/>
          <w:numId w:val="1013"/>
        </w:numPr>
      </w:pPr>
      <w:r>
        <w:rPr>
          <w:b/>
          <w:bCs/>
        </w:rPr>
        <w:t xml:space="preserve">Annotation protocol</w:t>
      </w:r>
      <w:r>
        <w:t xml:space="preserve"> </w:t>
      </w:r>
      <w:r>
        <w:t xml:space="preserve">with written guidelines per task (claim spans, citation scope, function, stance, target alignment), piloted and revised before full annotation.</w:t>
      </w:r>
    </w:p>
    <w:p>
      <w:pPr>
        <w:pStyle w:val="Compact"/>
        <w:numPr>
          <w:ilvl w:val="0"/>
          <w:numId w:val="1013"/>
        </w:numPr>
      </w:pPr>
      <w:r>
        <w:rPr>
          <w:b/>
          <w:bCs/>
        </w:rPr>
        <w:t xml:space="preserve">Inter-annotator agreement</w:t>
      </w:r>
      <w:r>
        <w:t xml:space="preserve"> </w:t>
      </w:r>
      <w:r>
        <w:t xml:space="preserve">reported per task (e.g. Krippendorff’s α / Cohen’s κ), with disagreement categories analyzed — disagreements are signal about ontology weaknesses, not just noise.</w:t>
      </w:r>
    </w:p>
    <w:p>
      <w:pPr>
        <w:pStyle w:val="Compact"/>
        <w:numPr>
          <w:ilvl w:val="0"/>
          <w:numId w:val="1013"/>
        </w:numPr>
      </w:pPr>
      <w:r>
        <w:rPr>
          <w:b/>
          <w:bCs/>
        </w:rPr>
        <w:t xml:space="preserve">Adjudication</w:t>
      </w:r>
      <w:r>
        <w:t xml:space="preserve"> </w:t>
      </w:r>
      <w:r>
        <w:t xml:space="preserve">of disagreements by a senior annotator; adjudication rate reported.</w:t>
      </w:r>
    </w:p>
    <w:p>
      <w:pPr>
        <w:pStyle w:val="Compact"/>
        <w:numPr>
          <w:ilvl w:val="0"/>
          <w:numId w:val="1013"/>
        </w:numPr>
      </w:pPr>
      <w:r>
        <w:rPr>
          <w:rStyle w:val="VerbatimChar"/>
        </w:rPr>
        <w:t xml:space="preserve">ReviewDecision</w:t>
      </w:r>
      <w:r>
        <w:t xml:space="preserve"> </w:t>
      </w:r>
      <w:r>
        <w:t xml:space="preserve">records double as ongoing annotation: the production review workflow and the evaluation pipeline share one data structure (</w:t>
      </w:r>
      <w:hyperlink r:id="rId32">
        <w:r>
          <w:rPr>
            <w:rStyle w:val="Hyperlink"/>
          </w:rPr>
          <w:t xml:space="preserve">scoring-and-review.md</w:t>
        </w:r>
      </w:hyperlink>
      <w:r>
        <w:t xml:space="preserve">).</w:t>
      </w:r>
    </w:p>
    <w:p>
      <w:pPr>
        <w:pStyle w:val="FirstParagraph"/>
      </w:pPr>
      <w:r>
        <w:t xml:space="preserve">The corpus</w:t>
      </w:r>
      <w:r>
        <w:t xml:space="preserve"> </w:t>
      </w:r>
      <w:r>
        <w:rPr>
          <w:b/>
          <w:bCs/>
        </w:rPr>
        <w:t xml:space="preserve">deliberately includes hard cases</w:t>
      </w:r>
      <w:r>
        <w:t xml:space="preserve">: multiple citations in one sentence, compound claims, negation, hedging, indirect citation, systematic reviews, conflicting studies, and target papers containing several similar claims.</w:t>
      </w:r>
    </w:p>
    <w:bookmarkEnd w:id="66"/>
    <w:bookmarkStart w:id="67" w:name="per-stage-metrics"/>
    <w:p>
      <w:pPr>
        <w:pStyle w:val="Heading2"/>
      </w:pPr>
      <w:r>
        <w:t xml:space="preserve">5.2 Per-stage metrics</w:t>
      </w:r>
    </w:p>
    <w:p>
      <w:pPr>
        <w:pStyle w:val="FirstParagraph"/>
      </w:pPr>
      <w:r>
        <w:t xml:space="preserve">Errors compound across the pipeline, so every stage is measured separately: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Measurements</w:t>
            </w:r>
          </w:p>
        </w:tc>
      </w:tr>
      <w:tr>
        <w:tc>
          <w:tcPr/>
          <w:p>
            <w:pPr>
              <w:pStyle w:val="Compact"/>
            </w:pPr>
            <w:r>
              <w:t xml:space="preserve">Document parsing</w:t>
            </w:r>
          </w:p>
        </w:tc>
        <w:tc>
          <w:tcPr/>
          <w:p>
            <w:pPr>
              <w:pStyle w:val="Compact"/>
            </w:pPr>
            <w:r>
              <w:t xml:space="preserve">Citation-marker resolution, passage-offset accuracy, section recognition</w:t>
            </w:r>
          </w:p>
        </w:tc>
      </w:tr>
      <w:tr>
        <w:tc>
          <w:tcPr/>
          <w:p>
            <w:pPr>
              <w:pStyle w:val="Compact"/>
            </w:pPr>
            <w:r>
              <w:t xml:space="preserve">Claim extraction</w:t>
            </w:r>
          </w:p>
        </w:tc>
        <w:tc>
          <w:tcPr/>
          <w:p>
            <w:pPr>
              <w:pStyle w:val="Compact"/>
            </w:pPr>
            <w:r>
              <w:t xml:space="preserve">Span precision/recall, atomicity, factual fidelity, qualifier preservation</w:t>
            </w:r>
          </w:p>
        </w:tc>
      </w:tr>
      <w:tr>
        <w:tc>
          <w:tcPr/>
          <w:p>
            <w:pPr>
              <w:pStyle w:val="Compact"/>
            </w:pPr>
            <w:r>
              <w:t xml:space="preserve">Citation scope</w:t>
            </w:r>
          </w:p>
        </w:tc>
        <w:tc>
          <w:tcPr/>
          <w:p>
            <w:pPr>
              <w:pStyle w:val="Compact"/>
            </w:pPr>
            <w:r>
              <w:t xml:space="preserve">Accuracy linking a citation marker to the local claim it belongs to</w:t>
            </w:r>
          </w:p>
        </w:tc>
      </w:tr>
      <w:tr>
        <w:tc>
          <w:tcPr/>
          <w:p>
            <w:pPr>
              <w:pStyle w:val="Compact"/>
            </w:pPr>
            <w:r>
              <w:t xml:space="preserve">Target-claim retrieval</w:t>
            </w:r>
          </w:p>
        </w:tc>
        <w:tc>
          <w:tcPr/>
          <w:p>
            <w:pPr>
              <w:pStyle w:val="Compact"/>
            </w:pPr>
            <w:r>
              <w:t xml:space="preserve">Recall@k; precision at the automatic-link threshold</w:t>
            </w:r>
          </w:p>
        </w:tc>
      </w:tr>
      <w:tr>
        <w:tc>
          <w:tcPr/>
          <w:p>
            <w:pPr>
              <w:pStyle w:val="Compact"/>
            </w:pPr>
            <w:r>
              <w:t xml:space="preserve">Relationship classification</w:t>
            </w:r>
          </w:p>
        </w:tc>
        <w:tc>
          <w:tcPr/>
          <w:p>
            <w:pPr>
              <w:pStyle w:val="Compact"/>
            </w:pPr>
            <w:r>
              <w:t xml:space="preserve">Per-class precision/recall, macro-F1, confusion matrix (function and stance separately)</w:t>
            </w:r>
          </w:p>
        </w:tc>
      </w:tr>
      <w:tr>
        <w:tc>
          <w:tcPr/>
          <w:p>
            <w:pPr>
              <w:pStyle w:val="Compact"/>
            </w:pPr>
            <w:r>
              <w:t xml:space="preserve">Confidence</w:t>
            </w:r>
          </w:p>
        </w:tc>
        <w:tc>
          <w:tcPr/>
          <w:p>
            <w:pPr>
              <w:pStyle w:val="Compact"/>
            </w:pPr>
            <w:r>
              <w:t xml:space="preserve">Calibration error (ECE); selective risk / coverage curves as abstention increases</w:t>
            </w:r>
          </w:p>
        </w:tc>
      </w:tr>
      <w:tr>
        <w:tc>
          <w:tcPr/>
          <w:p>
            <w:pPr>
              <w:pStyle w:val="Compact"/>
            </w:pPr>
            <w:r>
              <w:t xml:space="preserve">Clustering</w:t>
            </w:r>
          </w:p>
        </w:tc>
        <w:tc>
          <w:tcPr/>
          <w:p>
            <w:pPr>
              <w:pStyle w:val="Compact"/>
            </w:pPr>
            <w:r>
              <w:t xml:space="preserve">Pair precision/recall against adjudicated equivalence judgments</w:t>
            </w:r>
          </w:p>
        </w:tc>
      </w:tr>
      <w:tr>
        <w:tc>
          <w:tcPr/>
          <w:p>
            <w:pPr>
              <w:pStyle w:val="Compact"/>
            </w:pPr>
            <w:r>
              <w:t xml:space="preserve">Multi-hop tracing (phase 2)</w:t>
            </w:r>
          </w:p>
        </w:tc>
        <w:tc>
          <w:tcPr/>
          <w:p>
            <w:pPr>
              <w:pStyle w:val="Compact"/>
            </w:pPr>
            <w:r>
              <w:t xml:space="preserve">Path precision, coverage, cycle handling, per-hop provenance completeness</w:t>
            </w:r>
          </w:p>
        </w:tc>
      </w:tr>
      <w:tr>
        <w:tc>
          <w:tcPr/>
          <w:p>
            <w:pPr>
              <w:pStyle w:val="Compact"/>
            </w:pPr>
            <w:r>
              <w:t xml:space="preserve">Human review</w:t>
            </w:r>
          </w:p>
        </w:tc>
        <w:tc>
          <w:tcPr/>
          <w:p>
            <w:pPr>
              <w:pStyle w:val="Compact"/>
            </w:pPr>
            <w:r>
              <w:t xml:space="preserve">Inter-annotator agreement, disagreement categories, adjudication rate</w:t>
            </w:r>
          </w:p>
        </w:tc>
      </w:tr>
      <w:tr>
        <w:tc>
          <w:tcPr/>
          <w:p>
            <w:pPr>
              <w:pStyle w:val="Compact"/>
            </w:pPr>
            <w:r>
              <w:t xml:space="preserve">Operations</w:t>
            </w:r>
          </w:p>
        </w:tc>
        <w:tc>
          <w:tcPr/>
          <w:p>
            <w:pPr>
              <w:pStyle w:val="Compact"/>
            </w:pPr>
            <w:r>
              <w:rPr>
                <w:b/>
                <w:bCs/>
              </w:rPr>
              <w:t xml:space="preserve">Cost per paper (LLM + compute)</w:t>
            </w:r>
            <w:r>
              <w:t xml:space="preserve">, throughput, p95 latency, retry rate, ingestion failure rate</w:t>
            </w:r>
          </w:p>
        </w:tc>
      </w:tr>
    </w:tbl>
    <w:p>
      <w:pPr>
        <w:pStyle w:val="BodyText"/>
      </w:pPr>
      <w:r>
        <w:t xml:space="preserve">Cost per paper is a reported metric, not an afterthought: LLM extraction cost at corpus scale directly shapes the feasibility story and interacts with any multi-model comparison.</w:t>
      </w:r>
    </w:p>
    <w:bookmarkEnd w:id="67"/>
    <w:bookmarkStart w:id="68" w:name="abstention-as-a-measured-behavior"/>
    <w:p>
      <w:pPr>
        <w:pStyle w:val="Heading2"/>
      </w:pPr>
      <w:r>
        <w:t xml:space="preserve">5.3 Abstention as a measured behavior</w:t>
      </w:r>
    </w:p>
    <w:p>
      <w:pPr>
        <w:pStyle w:val="FirstParagraph"/>
      </w:pPr>
      <w:r>
        <w:t xml:space="preserve">Every uncertain stage can return</w:t>
      </w:r>
      <w:r>
        <w:t xml:space="preserve"> </w:t>
      </w:r>
      <w:r>
        <w:rPr>
          <w:rStyle w:val="VerbatimChar"/>
        </w:rPr>
        <w:t xml:space="preserve">unresolved</w:t>
      </w:r>
      <w:r>
        <w:t xml:space="preserve"> </w:t>
      </w:r>
      <w:r>
        <w:t xml:space="preserve">(</w:t>
      </w:r>
      <w:hyperlink r:id="rId46">
        <w:r>
          <w:rPr>
            <w:rStyle w:val="Hyperlink"/>
          </w:rPr>
          <w:t xml:space="preserve">data-model.md</w:t>
        </w:r>
      </w:hyperlink>
      <w:r>
        <w:t xml:space="preserve">). Evaluation therefore reports</w:t>
      </w:r>
      <w:r>
        <w:t xml:space="preserve"> </w:t>
      </w:r>
      <w:r>
        <w:rPr>
          <w:b/>
          <w:bCs/>
        </w:rPr>
        <w:t xml:space="preserve">selective performance</w:t>
      </w:r>
      <w:r>
        <w:t xml:space="preserve">: precision at the thresholds actually used in production, and the risk/coverage tradeoff as thresholds move. The claim being tested is not</w:t>
      </w:r>
      <w:r>
        <w:t xml:space="preserve"> </w:t>
      </w:r>
      <w:r>
        <w:t xml:space="preserve">“the system is always right”</w:t>
      </w:r>
      <w:r>
        <w:t xml:space="preserve"> </w:t>
      </w:r>
      <w:r>
        <w:t xml:space="preserve">but</w:t>
      </w:r>
      <w:r>
        <w:t xml:space="preserve"> </w:t>
      </w:r>
      <w:r>
        <w:t xml:space="preserve">“the system is right at useful precision</w:t>
      </w:r>
      <w:r>
        <w:t xml:space="preserve"> </w:t>
      </w:r>
      <w:r>
        <w:rPr>
          <w:i/>
          <w:iCs/>
        </w:rPr>
        <w:t xml:space="preserve">when it chooses to answer</w:t>
      </w:r>
      <w:r>
        <w:t xml:space="preserve">, and honest when it doesn’t.”</w:t>
      </w:r>
    </w:p>
    <w:bookmarkEnd w:id="68"/>
    <w:bookmarkStart w:id="69" w:name="X92161762b874112409eeddf8c679d499faeb914"/>
    <w:p>
      <w:pPr>
        <w:pStyle w:val="Heading2"/>
      </w:pPr>
      <w:r>
        <w:t xml:space="preserve">5.4 Semantic Scholar citation intent: weak supervision + baseline, not ground truth</w:t>
      </w:r>
    </w:p>
    <w:p>
      <w:pPr>
        <w:pStyle w:val="FirstParagraph"/>
      </w:pPr>
      <w:r>
        <w:t xml:space="preserve">S2’s citation-intent labels use a different label set from InterCiter’s function/stance ontology. They are used as:</w:t>
      </w:r>
    </w:p>
    <w:p>
      <w:pPr>
        <w:pStyle w:val="Compact"/>
        <w:numPr>
          <w:ilvl w:val="0"/>
          <w:numId w:val="1014"/>
        </w:numPr>
      </w:pPr>
      <w:r>
        <w:rPr>
          <w:b/>
          <w:bCs/>
        </w:rPr>
        <w:t xml:space="preserve">weak supervision</w:t>
      </w:r>
      <w:r>
        <w:t xml:space="preserve"> </w:t>
      </w:r>
      <w:r>
        <w:t xml:space="preserve">to bootstrap classifiers, via an explicit</w:t>
      </w:r>
      <w:r>
        <w:t xml:space="preserve"> </w:t>
      </w:r>
      <w:r>
        <w:rPr>
          <w:b/>
          <w:bCs/>
        </w:rPr>
        <w:t xml:space="preserve">mapping study</w:t>
      </w:r>
      <w:r>
        <w:t xml:space="preserve"> </w:t>
      </w:r>
      <w:r>
        <w:t xml:space="preserve">(how S2 labels distribute over InterCiter’s ontology, measured on the gold corpus);</w:t>
      </w:r>
    </w:p>
    <w:p>
      <w:pPr>
        <w:pStyle w:val="Compact"/>
        <w:numPr>
          <w:ilvl w:val="0"/>
          <w:numId w:val="1014"/>
        </w:numPr>
      </w:pPr>
      <w:r>
        <w:t xml:space="preserve">a</w:t>
      </w:r>
      <w:r>
        <w:t xml:space="preserve"> </w:t>
      </w:r>
      <w:r>
        <w:rPr>
          <w:b/>
          <w:bCs/>
        </w:rPr>
        <w:t xml:space="preserve">baseline</w:t>
      </w:r>
      <w:r>
        <w:t xml:space="preserve"> </w:t>
      </w:r>
      <w:r>
        <w:t xml:space="preserve">to beat, giving the grant a comparative evaluation.</w:t>
      </w:r>
    </w:p>
    <w:p>
      <w:pPr>
        <w:pStyle w:val="FirstParagraph"/>
      </w:pPr>
      <w:r>
        <w:t xml:space="preserve">They are never the final ground truth.</w:t>
      </w:r>
    </w:p>
    <w:bookmarkEnd w:id="69"/>
    <w:bookmarkStart w:id="71" w:name="model-swappability-demonstrated-cheaply"/>
    <w:p>
      <w:pPr>
        <w:pStyle w:val="Heading2"/>
      </w:pPr>
      <w:r>
        <w:t xml:space="preserve">5.5 Model swappability, demonstrated cheaply</w:t>
      </w:r>
    </w:p>
    <w:p>
      <w:pPr>
        <w:pStyle w:val="FirstParagraph"/>
      </w:pPr>
      <w:r>
        <w:t xml:space="preserve">Production multi-model extraction is deferred (</w:t>
      </w:r>
      <w:hyperlink r:id="rId70">
        <w:r>
          <w:rPr>
            <w:rStyle w:val="Hyperlink"/>
          </w:rPr>
          <w:t xml:space="preserve">../interciter-systems-design.md</w:t>
        </w:r>
      </w:hyperlink>
      <w:r>
        <w:t xml:space="preserve">), but swappability is still demonstrated: run a second extraction model</w:t>
      </w:r>
      <w:r>
        <w:t xml:space="preserve"> </w:t>
      </w:r>
      <w:r>
        <w:rPr>
          <w:b/>
          <w:bCs/>
        </w:rPr>
        <w:t xml:space="preserve">on the evaluation set only</w:t>
      </w:r>
      <w:r>
        <w:t xml:space="preserve">, compare per-stage metrics and error categories.</w:t>
      </w:r>
      <w:r>
        <w:t xml:space="preserve"> </w:t>
      </w:r>
      <w:r>
        <w:rPr>
          <w:rStyle w:val="VerbatimChar"/>
        </w:rPr>
        <w:t xml:space="preserve">ExtractionRun</w:t>
      </w:r>
      <w:r>
        <w:t xml:space="preserve"> </w:t>
      </w:r>
      <w:r>
        <w:t xml:space="preserve">provenance makes this a query, not a feature. This preserves the multi-model story for the grant without making it an MVP production feature.</w:t>
      </w:r>
    </w:p>
    <w:bookmarkEnd w:id="71"/>
    <w:bookmarkEnd w:id="72"/>
    <w:bookmarkStart w:id="80" w:name="interciter-api-surface"/>
    <w:p>
      <w:pPr>
        <w:pStyle w:val="Heading1"/>
      </w:pPr>
      <w:r>
        <w:t xml:space="preserve">6. InterCiter — API Surface</w:t>
      </w:r>
    </w:p>
    <w:p>
      <w:pPr>
        <w:pStyle w:val="FirstParagraph"/>
      </w:pPr>
      <w:r>
        <w:t xml:space="preserve">Versioned from day one (</w:t>
      </w:r>
      <w:r>
        <w:rPr>
          <w:rStyle w:val="VerbatimChar"/>
        </w:rPr>
        <w:t xml:space="preserve">/v1/</w:t>
      </w:r>
      <w:r>
        <w:t xml:space="preserve">). API-first: every feature, including InterCiter’s own frontends, routes through it. Resources are immutable-by-default, matching the system of record; the default read representations are the</w:t>
      </w:r>
      <w:r>
        <w:t xml:space="preserve"> </w:t>
      </w:r>
      <w:r>
        <w:rPr>
          <w:b/>
          <w:bCs/>
        </w:rPr>
        <w:t xml:space="preserve">composed, reader-friendly views</w:t>
      </w:r>
      <w:r>
        <w:t xml:space="preserve"> </w:t>
      </w:r>
      <w:r>
        <w:t xml:space="preserve">described in</w:t>
      </w:r>
      <w:r>
        <w:t xml:space="preserve"> </w:t>
      </w:r>
      <w:hyperlink r:id="rId26">
        <w:r>
          <w:rPr>
            <w:rStyle w:val="Hyperlink"/>
          </w:rPr>
          <w:t xml:space="preserve">architecture.md</w:t>
        </w:r>
      </w:hyperlink>
      <w:r>
        <w:t xml:space="preserve">, with the full audit structure behind explicit evidence endpoints.</w:t>
      </w:r>
    </w:p>
    <w:bookmarkStart w:id="73" w:name="ingestion-jobs-and-runs-mvp"/>
    <w:p>
      <w:pPr>
        <w:pStyle w:val="Heading2"/>
      </w:pPr>
      <w:r>
        <w:t xml:space="preserve">6.1 Ingestion, jobs, and runs (MVP)</w:t>
      </w:r>
    </w:p>
    <w:p>
      <w:pPr>
        <w:pStyle w:val="FirstParagraph"/>
      </w:pPr>
      <w:r>
        <w:t xml:space="preserve">One paper accumulates many jobs over time (parse, extract, re-extract, hydrate), so jobs and runs are first-class resources rather than a single</w:t>
      </w:r>
      <w:r>
        <w:t xml:space="preserve"> </w:t>
      </w:r>
      <w:r>
        <w:rPr>
          <w:rStyle w:val="VerbatimChar"/>
        </w:rPr>
        <w:t xml:space="preserve">GET /papers/{id}/status</w:t>
      </w:r>
      <w:r>
        <w:t xml:space="preserve">.</w:t>
      </w:r>
    </w:p>
    <w:p>
      <w:pPr>
        <w:pStyle w:val="Compact"/>
        <w:numPr>
          <w:ilvl w:val="0"/>
          <w:numId w:val="1015"/>
        </w:numPr>
      </w:pPr>
      <w:r>
        <w:rPr>
          <w:rStyle w:val="VerbatimChar"/>
        </w:rPr>
        <w:t xml:space="preserve">POST /v1/papers</w:t>
      </w:r>
      <w:r>
        <w:t xml:space="preserve"> </w:t>
      </w:r>
      <w:r>
        <w:t xml:space="preserve">— submit by DOI/PMID or open-access XML. Returns</w:t>
      </w:r>
      <w:r>
        <w:t xml:space="preserve"> </w:t>
      </w:r>
      <w:r>
        <w:rPr>
          <w:rStyle w:val="VerbatimChar"/>
        </w:rPr>
        <w:t xml:space="preserve">202 Accepted</w:t>
      </w:r>
      <w:r>
        <w:t xml:space="preserve"> </w:t>
      </w:r>
      <w:r>
        <w:t xml:space="preserve">+ a job resource. Supports an</w:t>
      </w:r>
      <w:r>
        <w:t xml:space="preserve"> </w:t>
      </w:r>
      <w:r>
        <w:rPr>
          <w:b/>
          <w:bCs/>
        </w:rPr>
        <w:t xml:space="preserve">idempotency key</w:t>
      </w:r>
      <w:r>
        <w:t xml:space="preserve"> </w:t>
      </w:r>
      <w:r>
        <w:t xml:space="preserve">so retries don’t double-ingest.</w:t>
      </w:r>
    </w:p>
    <w:p>
      <w:pPr>
        <w:pStyle w:val="Compact"/>
        <w:numPr>
          <w:ilvl w:val="0"/>
          <w:numId w:val="1015"/>
        </w:numPr>
      </w:pPr>
      <w:r>
        <w:rPr>
          <w:rStyle w:val="VerbatimChar"/>
        </w:rPr>
        <w:t xml:space="preserve">GET /v1/jobs/{job_id}</w:t>
      </w:r>
      <w:r>
        <w:t xml:space="preserve"> </w:t>
      </w:r>
      <w:r>
        <w:t xml:space="preserve">— poll any async work (MVP notification model; webhooks on the same abstraction in phase 2).</w:t>
      </w:r>
    </w:p>
    <w:p>
      <w:pPr>
        <w:pStyle w:val="Compact"/>
        <w:numPr>
          <w:ilvl w:val="0"/>
          <w:numId w:val="1015"/>
        </w:numPr>
      </w:pPr>
      <w:r>
        <w:rPr>
          <w:rStyle w:val="VerbatimChar"/>
        </w:rPr>
        <w:t xml:space="preserve">GET /v1/papers/{paper_id}</w:t>
      </w:r>
      <w:r>
        <w:t xml:space="preserve"> </w:t>
      </w:r>
      <w:r>
        <w:t xml:space="preserve">— work-level metadata +</w:t>
      </w:r>
      <w:r>
        <w:t xml:space="preserve"> </w:t>
      </w:r>
      <w:r>
        <w:rPr>
          <w:b/>
          <w:bCs/>
        </w:rPr>
        <w:t xml:space="preserve">availability state</w:t>
      </w:r>
      <w:r>
        <w:t xml:space="preserve"> </w:t>
      </w:r>
      <w:r>
        <w:t xml:space="preserve">(</w:t>
      </w:r>
      <w:r>
        <w:rPr>
          <w:rStyle w:val="VerbatimChar"/>
        </w:rPr>
        <w:t xml:space="preserve">full_text_extracted</w:t>
      </w:r>
      <w:r>
        <w:t xml:space="preserve"> </w:t>
      </w:r>
      <w:r>
        <w:t xml:space="preserve">…</w:t>
      </w:r>
      <w:r>
        <w:t xml:space="preserve"> </w:t>
      </w:r>
      <w:r>
        <w:rPr>
          <w:rStyle w:val="VerbatimChar"/>
        </w:rPr>
        <w:t xml:space="preserve">ingestion_failed</w:t>
      </w:r>
      <w:r>
        <w:t xml:space="preserve">, see architecture.md).</w:t>
      </w:r>
    </w:p>
    <w:p>
      <w:pPr>
        <w:pStyle w:val="Compact"/>
        <w:numPr>
          <w:ilvl w:val="0"/>
          <w:numId w:val="1015"/>
        </w:numPr>
      </w:pPr>
      <w:r>
        <w:rPr>
          <w:rStyle w:val="VerbatimChar"/>
        </w:rPr>
        <w:t xml:space="preserve">GET /v1/papers/{paper_id}/versions</w:t>
      </w:r>
      <w:r>
        <w:t xml:space="preserve"> </w:t>
      </w:r>
      <w:r>
        <w:t xml:space="preserve">— the paper’s</w:t>
      </w:r>
      <w:r>
        <w:t xml:space="preserve"> </w:t>
      </w:r>
      <w:r>
        <w:rPr>
          <w:rStyle w:val="VerbatimChar"/>
        </w:rPr>
        <w:t xml:space="preserve">PaperVersion</w:t>
      </w:r>
      <w:r>
        <w:t xml:space="preserve">s (preprint vs published vs correction).</w:t>
      </w:r>
    </w:p>
    <w:p>
      <w:pPr>
        <w:pStyle w:val="Compact"/>
        <w:numPr>
          <w:ilvl w:val="0"/>
          <w:numId w:val="1015"/>
        </w:numPr>
      </w:pPr>
      <w:r>
        <w:rPr>
          <w:rStyle w:val="VerbatimChar"/>
        </w:rPr>
        <w:t xml:space="preserve">GET /v1/extraction-runs/{run_id}</w:t>
      </w:r>
      <w:r>
        <w:t xml:space="preserve"> </w:t>
      </w:r>
      <w:r>
        <w:t xml:space="preserve">— full run provenance (model, prompt version, parameters, code revision).</w:t>
      </w:r>
    </w:p>
    <w:p>
      <w:pPr>
        <w:pStyle w:val="Compact"/>
        <w:numPr>
          <w:ilvl w:val="0"/>
          <w:numId w:val="1015"/>
        </w:numPr>
      </w:pPr>
      <w:r>
        <w:rPr>
          <w:rStyle w:val="VerbatimChar"/>
        </w:rPr>
        <w:t xml:space="preserve">POST /v1/papers/{paper_id}/extractions</w:t>
      </w:r>
      <w:r>
        <w:t xml:space="preserve"> </w:t>
      </w:r>
      <w:r>
        <w:t xml:space="preserve">— trigger a re-extraction with a specified model (evaluation workflows; not a production multi-model feature in MVP).</w:t>
      </w:r>
    </w:p>
    <w:bookmarkEnd w:id="73"/>
    <w:bookmarkStart w:id="74" w:name="claims-and-evidence-mvp-core"/>
    <w:p>
      <w:pPr>
        <w:pStyle w:val="Heading2"/>
      </w:pPr>
      <w:r>
        <w:t xml:space="preserve">6.2 Claims and evidence (MVP — core)</w:t>
      </w:r>
    </w:p>
    <w:p>
      <w:pPr>
        <w:pStyle w:val="Compact"/>
        <w:numPr>
          <w:ilvl w:val="0"/>
          <w:numId w:val="1016"/>
        </w:numPr>
      </w:pPr>
      <w:r>
        <w:rPr>
          <w:rStyle w:val="VerbatimChar"/>
        </w:rPr>
        <w:t xml:space="preserve">GET /v1/claims/{id}</w:t>
      </w:r>
      <w:r>
        <w:t xml:space="preserve"> </w:t>
      </w:r>
      <w:r>
        <w:t xml:space="preserve">— the composed default view: normalized text, source snippet, paper, provenance link, per-component scores. (</w:t>
      </w:r>
      <w:r>
        <w:t xml:space="preserve">“Claim”</w:t>
      </w:r>
      <w:r>
        <w:t xml:space="preserve"> </w:t>
      </w:r>
      <w:r>
        <w:t xml:space="preserve">here is the projected read-side object; the audit trail sits behind it.)</w:t>
      </w:r>
    </w:p>
    <w:p>
      <w:pPr>
        <w:pStyle w:val="Compact"/>
        <w:numPr>
          <w:ilvl w:val="0"/>
          <w:numId w:val="1016"/>
        </w:numPr>
      </w:pPr>
      <w:r>
        <w:rPr>
          <w:rStyle w:val="VerbatimChar"/>
        </w:rPr>
        <w:t xml:space="preserve">GET /v1/papers/{id}/claims</w:t>
      </w:r>
      <w:r>
        <w:t xml:space="preserve"> </w:t>
      </w:r>
      <w:r>
        <w:t xml:space="preserve">— claims for a paper.</w:t>
      </w:r>
    </w:p>
    <w:p>
      <w:pPr>
        <w:pStyle w:val="Compact"/>
        <w:numPr>
          <w:ilvl w:val="0"/>
          <w:numId w:val="1016"/>
        </w:numPr>
      </w:pPr>
      <w:r>
        <w:rPr>
          <w:rStyle w:val="VerbatimChar"/>
        </w:rPr>
        <w:t xml:space="preserve">GET /v1/claim-occurrences/{id}</w:t>
      </w:r>
      <w:r>
        <w:t xml:space="preserve"> </w:t>
      </w:r>
      <w:r>
        <w:t xml:space="preserve">— exact span, passage, extraction run.</w:t>
      </w:r>
    </w:p>
    <w:p>
      <w:pPr>
        <w:pStyle w:val="Compact"/>
        <w:numPr>
          <w:ilvl w:val="0"/>
          <w:numId w:val="1016"/>
        </w:numPr>
      </w:pPr>
      <w:r>
        <w:rPr>
          <w:rStyle w:val="VerbatimChar"/>
        </w:rPr>
        <w:t xml:space="preserve">GET /v1/claim-interpretations/{id}</w:t>
      </w:r>
      <w:r>
        <w:t xml:space="preserve"> </w:t>
      </w:r>
      <w:r>
        <w:t xml:space="preserve">— normalized proposition, qualifiers, revision parents.</w:t>
      </w:r>
    </w:p>
    <w:p>
      <w:pPr>
        <w:pStyle w:val="Compact"/>
        <w:numPr>
          <w:ilvl w:val="0"/>
          <w:numId w:val="1016"/>
        </w:numPr>
      </w:pPr>
      <w:r>
        <w:rPr>
          <w:rStyle w:val="VerbatimChar"/>
        </w:rPr>
        <w:t xml:space="preserve">GET /v1/passages/{id}</w:t>
      </w:r>
      <w:r>
        <w:t xml:space="preserve"> </w:t>
      </w:r>
      <w:r>
        <w:t xml:space="preserve">— verbatim source text + locators.</w:t>
      </w:r>
    </w:p>
    <w:p>
      <w:pPr>
        <w:pStyle w:val="Compact"/>
        <w:numPr>
          <w:ilvl w:val="0"/>
          <w:numId w:val="1016"/>
        </w:numPr>
      </w:pPr>
      <w:r>
        <w:rPr>
          <w:rStyle w:val="VerbatimChar"/>
        </w:rPr>
        <w:t xml:space="preserve">POST /v1/claims</w:t>
      </w:r>
      <w:r>
        <w:t xml:space="preserve"> </w:t>
      </w:r>
      <w:r>
        <w:t xml:space="preserve">— human-authored claim (creates occurrence + interpretation as appropriate).</w:t>
      </w:r>
    </w:p>
    <w:p>
      <w:pPr>
        <w:pStyle w:val="FirstParagraph"/>
      </w:pPr>
      <w:r>
        <w:t xml:space="preserve">Every claim and relation response</w:t>
      </w:r>
      <w:r>
        <w:t xml:space="preserve"> </w:t>
      </w:r>
      <w:r>
        <w:rPr>
          <w:b/>
          <w:bCs/>
        </w:rPr>
        <w:t xml:space="preserve">embeds or links its evidence</w:t>
      </w:r>
      <w:r>
        <w:t xml:space="preserve">. There is no representation of a claim that can’t be traced to a passage in one request.</w:t>
      </w:r>
    </w:p>
    <w:bookmarkEnd w:id="74"/>
    <w:bookmarkStart w:id="75" w:name="revisions-mvp"/>
    <w:p>
      <w:pPr>
        <w:pStyle w:val="Heading2"/>
      </w:pPr>
      <w:r>
        <w:t xml:space="preserve">6.3 Revisions (MVP)</w:t>
      </w:r>
    </w:p>
    <w:p>
      <w:pPr>
        <w:pStyle w:val="FirstParagraph"/>
      </w:pPr>
      <w:r>
        <w:t xml:space="preserve">Revising is creating, so it’s a</w:t>
      </w:r>
      <w:r>
        <w:t xml:space="preserve"> </w:t>
      </w:r>
      <w:r>
        <w:rPr>
          <w:rStyle w:val="VerbatimChar"/>
        </w:rPr>
        <w:t xml:space="preserve">POST</w:t>
      </w:r>
      <w:r>
        <w:t xml:space="preserve">, not a</w:t>
      </w:r>
      <w:r>
        <w:t xml:space="preserve"> </w:t>
      </w:r>
      <w:r>
        <w:rPr>
          <w:rStyle w:val="VerbatimChar"/>
        </w:rPr>
        <w:t xml:space="preserve">PATCH</w:t>
      </w:r>
      <w:r>
        <w:t xml:space="preserve">:</w:t>
      </w:r>
    </w:p>
    <w:p>
      <w:pPr>
        <w:pStyle w:val="Compact"/>
        <w:numPr>
          <w:ilvl w:val="0"/>
          <w:numId w:val="1017"/>
        </w:numPr>
      </w:pPr>
      <w:r>
        <w:rPr>
          <w:rStyle w:val="VerbatimChar"/>
        </w:rPr>
        <w:t xml:space="preserve">POST /v1/claim-interpretations/{id}/revisions</w:t>
      </w:r>
      <w:r>
        <w:t xml:space="preserve"> </w:t>
      </w:r>
      <w:r>
        <w:t xml:space="preserve">— creates a new interpretation with the old as parent. The response identifies both versions</w:t>
      </w:r>
      <w:r>
        <w:t xml:space="preserve"> </w:t>
      </w:r>
      <w:r>
        <w:rPr>
          <w:b/>
          <w:bCs/>
        </w:rPr>
        <w:t xml:space="preserve">and lists any</w:t>
      </w:r>
      <w:r>
        <w:rPr>
          <w:b/>
          <w:bCs/>
        </w:rPr>
        <w:t xml:space="preserve"> </w:t>
      </w:r>
      <w:r>
        <w:rPr>
          <w:rStyle w:val="VerbatimChar"/>
          <w:b/>
          <w:bCs/>
        </w:rPr>
        <w:t xml:space="preserve">RelationAssertion</w:t>
      </w:r>
      <w:r>
        <w:rPr>
          <w:b/>
          <w:bCs/>
        </w:rPr>
        <w:t xml:space="preserve">s that became</w:t>
      </w:r>
      <w:r>
        <w:rPr>
          <w:b/>
          <w:bCs/>
        </w:rPr>
        <w:t xml:space="preserve"> </w:t>
      </w:r>
      <w:r>
        <w:rPr>
          <w:rStyle w:val="VerbatimChar"/>
          <w:b/>
          <w:bCs/>
        </w:rPr>
        <w:t xml:space="preserve">stale_pending_review</w:t>
      </w:r>
      <w:r>
        <w:t xml:space="preserve">. Restricted to the original author or</w:t>
      </w:r>
      <w:r>
        <w:t xml:space="preserve"> </w:t>
      </w:r>
      <w:r>
        <w:rPr>
          <w:rStyle w:val="VerbatimChar"/>
        </w:rPr>
        <w:t xml:space="preserve">reviewer</w:t>
      </w:r>
      <w:r>
        <w:t xml:space="preserve">/</w:t>
      </w:r>
      <w:r>
        <w:rPr>
          <w:rStyle w:val="VerbatimChar"/>
        </w:rPr>
        <w:t xml:space="preserve">admin</w:t>
      </w:r>
      <w:r>
        <w:t xml:space="preserve">.</w:t>
      </w:r>
    </w:p>
    <w:bookmarkEnd w:id="75"/>
    <w:bookmarkStart w:id="76" w:name="relations-and-traversal-mvp-one-hop"/>
    <w:p>
      <w:pPr>
        <w:pStyle w:val="Heading2"/>
      </w:pPr>
      <w:r>
        <w:t xml:space="preserve">6.4 Relations and traversal (MVP: one hop)</w:t>
      </w:r>
    </w:p>
    <w:p>
      <w:pPr>
        <w:pStyle w:val="Compact"/>
        <w:numPr>
          <w:ilvl w:val="0"/>
          <w:numId w:val="1018"/>
        </w:numPr>
      </w:pPr>
      <w:r>
        <w:rPr>
          <w:rStyle w:val="VerbatimChar"/>
        </w:rPr>
        <w:t xml:space="preserve">GET /v1/relation-assertions/{id}</w:t>
      </w:r>
      <w:r>
        <w:t xml:space="preserve"> </w:t>
      </w:r>
      <w:r>
        <w:t xml:space="preserve">— the full evidence-bearing record: function, stance, scope, resolution, both scores, stance distribution, evidence passage, run, review state.</w:t>
      </w:r>
    </w:p>
    <w:p>
      <w:pPr>
        <w:pStyle w:val="Compact"/>
        <w:numPr>
          <w:ilvl w:val="0"/>
          <w:numId w:val="1018"/>
        </w:numPr>
      </w:pPr>
      <w:r>
        <w:rPr>
          <w:rStyle w:val="VerbatimChar"/>
        </w:rPr>
        <w:t xml:space="preserve">GET /v1/claims/{id}/relationships</w:t>
      </w:r>
      <w:r>
        <w:t xml:space="preserve"> </w:t>
      </w:r>
      <w:r>
        <w:t xml:space="preserve">— one-hop relations for a claim, filterable by stance/function/resolution/status.</w:t>
      </w:r>
    </w:p>
    <w:p>
      <w:pPr>
        <w:pStyle w:val="FirstParagraph"/>
      </w:pPr>
      <w:r>
        <w:t xml:space="preserve">Deep traversal (phase 2) is</w:t>
      </w:r>
      <w:r>
        <w:t xml:space="preserve"> </w:t>
      </w:r>
      <w:r>
        <w:rPr>
          <w:b/>
          <w:bCs/>
        </w:rPr>
        <w:t xml:space="preserve">bounded, never free-depth</w:t>
      </w:r>
      <w:r>
        <w:t xml:space="preserve"> </w:t>
      </w:r>
      <w:r>
        <w:t xml:space="preserve">— a bare</w:t>
      </w:r>
      <w:r>
        <w:t xml:space="preserve"> </w:t>
      </w:r>
      <w:r>
        <w:rPr>
          <w:rStyle w:val="VerbatimChar"/>
        </w:rPr>
        <w:t xml:space="preserve">depth</w:t>
      </w:r>
      <w:r>
        <w:t xml:space="preserve"> </w:t>
      </w:r>
      <w:r>
        <w:t xml:space="preserve">parameter invites explosive queries and hides uncertainty:</w:t>
      </w:r>
    </w:p>
    <w:p>
      <w:pPr>
        <w:pStyle w:val="SourceCode"/>
      </w:pPr>
      <w:r>
        <w:rPr>
          <w:rStyle w:val="VerbatimChar"/>
        </w:rPr>
        <w:t xml:space="preserve">GET /v1/traces</w:t>
      </w:r>
      <w:r>
        <w:br/>
      </w:r>
      <w:r>
        <w:rPr>
          <w:rStyle w:val="VerbatimChar"/>
        </w:rPr>
        <w:t xml:space="preserve">  ?root_claim_id=...</w:t>
      </w:r>
      <w:r>
        <w:br/>
      </w:r>
      <w:r>
        <w:rPr>
          <w:rStyle w:val="VerbatimChar"/>
        </w:rPr>
        <w:t xml:space="preserve">  &amp;max_depth=2          (required)</w:t>
      </w:r>
      <w:r>
        <w:br/>
      </w:r>
      <w:r>
        <w:rPr>
          <w:rStyle w:val="VerbatimChar"/>
        </w:rPr>
        <w:t xml:space="preserve">  &amp;max_nodes=100        (required)</w:t>
      </w:r>
      <w:r>
        <w:br/>
      </w:r>
      <w:r>
        <w:rPr>
          <w:rStyle w:val="VerbatimChar"/>
        </w:rPr>
        <w:t xml:space="preserve">  &amp;min_target_link_score=...</w:t>
      </w:r>
      <w:r>
        <w:br/>
      </w:r>
      <w:r>
        <w:rPr>
          <w:rStyle w:val="VerbatimChar"/>
        </w:rPr>
        <w:t xml:space="preserve">  &amp;min_stance_score=...</w:t>
      </w:r>
      <w:r>
        <w:br/>
      </w:r>
      <w:r>
        <w:rPr>
          <w:rStyle w:val="VerbatimChar"/>
        </w:rPr>
        <w:t xml:space="preserve">  &amp;include_unresolved=true</w:t>
      </w:r>
      <w:r>
        <w:br/>
      </w:r>
      <w:r>
        <w:rPr>
          <w:rStyle w:val="VerbatimChar"/>
        </w:rPr>
        <w:t xml:space="preserve">  &amp;cursor=...</w:t>
      </w:r>
    </w:p>
    <w:p>
      <w:pPr>
        <w:pStyle w:val="FirstParagraph"/>
      </w:pPr>
      <w:r>
        <w:t xml:space="preserve">The response reports cycles, truncated branches, evidence for every hop, and separate confidence components per hop — and it</w:t>
      </w:r>
      <w:r>
        <w:t xml:space="preserve"> </w:t>
      </w:r>
      <w:r>
        <w:rPr>
          <w:b/>
          <w:bCs/>
        </w:rPr>
        <w:t xml:space="preserve">never presents a</w:t>
      </w:r>
      <w:r>
        <w:rPr>
          <w:b/>
          <w:bCs/>
        </w:rPr>
        <w:t xml:space="preserve"> </w:t>
      </w:r>
      <w:r>
        <w:rPr>
          <w:rStyle w:val="VerbatimChar"/>
          <w:b/>
          <w:bCs/>
        </w:rPr>
        <w:t xml:space="preserve">paper_resolved</w:t>
      </w:r>
      <w:r>
        <w:rPr>
          <w:b/>
          <w:bCs/>
        </w:rPr>
        <w:t xml:space="preserve"> </w:t>
      </w:r>
      <w:r>
        <w:rPr>
          <w:b/>
          <w:bCs/>
        </w:rPr>
        <w:t xml:space="preserve">hop as a claim-level continuation</w:t>
      </w:r>
      <w:r>
        <w:t xml:space="preserve">.</w:t>
      </w:r>
    </w:p>
    <w:bookmarkEnd w:id="76"/>
    <w:bookmarkStart w:id="77" w:name="clusters-and-review-mvp"/>
    <w:p>
      <w:pPr>
        <w:pStyle w:val="Heading2"/>
      </w:pPr>
      <w:r>
        <w:t xml:space="preserve">6.5 Clusters and review (MVP)</w:t>
      </w:r>
    </w:p>
    <w:p>
      <w:pPr>
        <w:pStyle w:val="Compact"/>
        <w:numPr>
          <w:ilvl w:val="0"/>
          <w:numId w:val="1019"/>
        </w:numPr>
      </w:pPr>
      <w:r>
        <w:rPr>
          <w:rStyle w:val="VerbatimChar"/>
        </w:rPr>
        <w:t xml:space="preserve">GET /v1/clusters/{id}</w:t>
      </w:r>
      <w:r>
        <w:t xml:space="preserve"> </w:t>
      </w:r>
      <w:r>
        <w:t xml:space="preserve">— memberships with method + confidence; conflicting stances within a cluster surfaced explicitly.</w:t>
      </w:r>
    </w:p>
    <w:p>
      <w:pPr>
        <w:pStyle w:val="Compact"/>
        <w:numPr>
          <w:ilvl w:val="0"/>
          <w:numId w:val="1019"/>
        </w:numPr>
      </w:pPr>
      <w:r>
        <w:rPr>
          <w:rStyle w:val="VerbatimChar"/>
        </w:rPr>
        <w:t xml:space="preserve">DELETE /v1/clusters/{cluster_id}/members/{interpretation_id}</w:t>
      </w:r>
      <w:r>
        <w:t xml:space="preserve"> </w:t>
      </w:r>
      <w:r>
        <w:t xml:space="preserve">— reviewer removes a bad membership (sets</w:t>
      </w:r>
      <w:r>
        <w:t xml:space="preserve"> </w:t>
      </w:r>
      <w:r>
        <w:rPr>
          <w:rStyle w:val="VerbatimChar"/>
        </w:rPr>
        <w:t xml:space="preserve">status: removed</w:t>
      </w:r>
      <w:r>
        <w:t xml:space="preserve">; nothing is destroyed).</w:t>
      </w:r>
    </w:p>
    <w:p>
      <w:pPr>
        <w:pStyle w:val="Compact"/>
        <w:numPr>
          <w:ilvl w:val="0"/>
          <w:numId w:val="1019"/>
        </w:numPr>
      </w:pPr>
      <w:r>
        <w:rPr>
          <w:rStyle w:val="VerbatimChar"/>
        </w:rPr>
        <w:t xml:space="preserve">POST /v1/review-decisions</w:t>
      </w:r>
      <w:r>
        <w:t xml:space="preserve"> </w:t>
      </w:r>
      <w:r>
        <w:t xml:space="preserve">— per-dimension review of an occurrence / interpretation / assertion / membership, with rationale.</w:t>
      </w:r>
    </w:p>
    <w:bookmarkEnd w:id="77"/>
    <w:bookmarkStart w:id="78" w:name="scores"/>
    <w:p>
      <w:pPr>
        <w:pStyle w:val="Heading2"/>
      </w:pPr>
      <w:r>
        <w:t xml:space="preserve">6.6 Scores</w:t>
      </w:r>
    </w:p>
    <w:p>
      <w:pPr>
        <w:pStyle w:val="Compact"/>
        <w:numPr>
          <w:ilvl w:val="0"/>
          <w:numId w:val="1020"/>
        </w:numPr>
      </w:pPr>
      <w:r>
        <w:rPr>
          <w:rStyle w:val="VerbatimChar"/>
        </w:rPr>
        <w:t xml:space="preserve">GET /v1/claims/{id}/scores</w:t>
      </w:r>
      <w:r>
        <w:t xml:space="preserve"> </w:t>
      </w:r>
      <w:r>
        <w:t xml:space="preserve">— the decomposed signal set (</w:t>
      </w:r>
      <w:hyperlink r:id="rId32">
        <w:r>
          <w:rPr>
            <w:rStyle w:val="Hyperlink"/>
          </w:rPr>
          <w:t xml:space="preserve">scoring-and-review.md</w:t>
        </w:r>
      </w:hyperlink>
      <w:r>
        <w:t xml:space="preserve">) as separate named components with</w:t>
      </w:r>
      <w:r>
        <w:t xml:space="preserve"> </w:t>
      </w:r>
      <w:r>
        <w:rPr>
          <w:rStyle w:val="VerbatimChar"/>
        </w:rPr>
        <w:t xml:space="preserve">Assessment</w:t>
      </w:r>
      <w:r>
        <w:t xml:space="preserve"> </w:t>
      </w:r>
      <w:r>
        <w:t xml:space="preserve">provenance. No blended scalar.</w:t>
      </w:r>
    </w:p>
    <w:p>
      <w:pPr>
        <w:pStyle w:val="Compact"/>
        <w:numPr>
          <w:ilvl w:val="0"/>
          <w:numId w:val="1020"/>
        </w:numPr>
      </w:pPr>
      <w:r>
        <w:t xml:space="preserve">User scores and paper trust endpoints —</w:t>
      </w:r>
      <w:r>
        <w:t xml:space="preserve"> </w:t>
      </w:r>
      <w:r>
        <w:rPr>
          <w:b/>
          <w:bCs/>
        </w:rPr>
        <w:t xml:space="preserve">phase 2</w:t>
      </w:r>
      <w:r>
        <w:t xml:space="preserve">, retaining the overlay pattern (</w:t>
      </w:r>
      <w:r>
        <w:rPr>
          <w:rStyle w:val="VerbatimChar"/>
        </w:rPr>
        <w:t xml:space="preserve">POST</w:t>
      </w:r>
      <w:r>
        <w:t xml:space="preserve"> </w:t>
      </w:r>
      <w:r>
        <w:t xml:space="preserve">adds one user’s entry; aggregates are computed and read-only).</w:t>
      </w:r>
    </w:p>
    <w:bookmarkEnd w:id="78"/>
    <w:bookmarkStart w:id="79" w:name="phase-2"/>
    <w:p>
      <w:pPr>
        <w:pStyle w:val="Heading2"/>
      </w:pPr>
      <w:r>
        <w:t xml:space="preserve">6.7 Phase 2</w:t>
      </w:r>
    </w:p>
    <w:p>
      <w:pPr>
        <w:pStyle w:val="Compact"/>
        <w:numPr>
          <w:ilvl w:val="0"/>
          <w:numId w:val="1021"/>
        </w:numPr>
      </w:pPr>
      <w:r>
        <w:rPr>
          <w:rStyle w:val="VerbatimChar"/>
        </w:rPr>
        <w:t xml:space="preserve">POST /v1/search</w:t>
      </w:r>
      <w:r>
        <w:t xml:space="preserve"> </w:t>
      </w:r>
      <w:r>
        <w:t xml:space="preserve">— semantic query; ranking inputs are explicit, component-level, and documented.</w:t>
      </w:r>
    </w:p>
    <w:p>
      <w:pPr>
        <w:pStyle w:val="Compact"/>
        <w:numPr>
          <w:ilvl w:val="0"/>
          <w:numId w:val="1021"/>
        </w:numPr>
      </w:pPr>
      <w:r>
        <w:rPr>
          <w:rStyle w:val="VerbatimChar"/>
        </w:rPr>
        <w:t xml:space="preserve">POST /v1/references</w:t>
      </w:r>
      <w:r>
        <w:t xml:space="preserve"> </w:t>
      </w:r>
      <w:r>
        <w:t xml:space="preserve">— draft text → relevant claims/papers as citations (depends on validated high-precision retrieval).</w:t>
      </w:r>
    </w:p>
    <w:p>
      <w:pPr>
        <w:pStyle w:val="Compact"/>
        <w:numPr>
          <w:ilvl w:val="0"/>
          <w:numId w:val="1021"/>
        </w:numPr>
      </w:pPr>
      <w:r>
        <w:rPr>
          <w:rStyle w:val="VerbatimChar"/>
        </w:rPr>
        <w:t xml:space="preserve">GET /v1/networks</w:t>
      </w:r>
      <w:r>
        <w:t xml:space="preserve"> </w:t>
      </w:r>
      <w:r>
        <w:t xml:space="preserve">— visualization data (nodes + edges) by granularity; rendering is the frontend’s job.</w:t>
      </w:r>
    </w:p>
    <w:p>
      <w:pPr>
        <w:pStyle w:val="Compact"/>
        <w:numPr>
          <w:ilvl w:val="0"/>
          <w:numId w:val="1021"/>
        </w:numPr>
      </w:pPr>
      <w:r>
        <w:t xml:space="preserve">Webhooks on the existing job abstraction.</w:t>
      </w:r>
    </w:p>
    <w:bookmarkEnd w:id="79"/>
    <w:bookmarkEnd w:id="80"/>
    <w:bookmarkStart w:id="86" w:name="interciter-grant-framing"/>
    <w:p>
      <w:pPr>
        <w:pStyle w:val="Heading1"/>
      </w:pPr>
      <w:r>
        <w:t xml:space="preserve">7. InterCiter — Grant Framing</w:t>
      </w:r>
    </w:p>
    <w:bookmarkStart w:id="81" w:name="three-explicit-hypotheses"/>
    <w:p>
      <w:pPr>
        <w:pStyle w:val="Heading2"/>
      </w:pPr>
      <w:r>
        <w:t xml:space="preserve">7.1 Three explicit hypotheses</w:t>
      </w:r>
    </w:p>
    <w:p>
      <w:pPr>
        <w:pStyle w:val="FirstParagraph"/>
      </w:pPr>
      <w:r>
        <w:t xml:space="preserve">The proposal is stronger presented as a research system testing three falsifiable hypotheses, each with its own metrics (</w:t>
      </w:r>
      <w:hyperlink r:id="rId31">
        <w:r>
          <w:rPr>
            <w:rStyle w:val="Hyperlink"/>
          </w:rPr>
          <w:t xml:space="preserve">evaluation.md</w:t>
        </w:r>
      </w:hyperlink>
      <w:r>
        <w:t xml:space="preserve">):</w:t>
      </w:r>
    </w:p>
    <w:p>
      <w:pPr>
        <w:pStyle w:val="Compact"/>
        <w:numPr>
          <w:ilvl w:val="0"/>
          <w:numId w:val="1022"/>
        </w:numPr>
      </w:pPr>
      <w:r>
        <w:rPr>
          <w:b/>
          <w:bCs/>
        </w:rPr>
        <w:t xml:space="preserve">Source-grounded extraction.</w:t>
      </w:r>
      <w:r>
        <w:t xml:space="preserve"> </w:t>
      </w:r>
      <w:r>
        <w:t xml:space="preserve">Scientific claim interpretations can be generated while preserving exact, inspectable evidence anchors (passage, offsets, verbatim text, paper version).</w:t>
      </w:r>
    </w:p>
    <w:p>
      <w:pPr>
        <w:pStyle w:val="Compact"/>
        <w:numPr>
          <w:ilvl w:val="0"/>
          <w:numId w:val="1022"/>
        </w:numPr>
      </w:pPr>
      <w:r>
        <w:rPr>
          <w:b/>
          <w:bCs/>
        </w:rPr>
        <w:t xml:space="preserve">Selective claim alignment.</w:t>
      </w:r>
      <w:r>
        <w:t xml:space="preserve"> </w:t>
      </w:r>
      <w:r>
        <w:t xml:space="preserve">Citation contexts can be linked to specific cited claims at useful precision</w:t>
      </w:r>
      <w:r>
        <w:t xml:space="preserve"> </w:t>
      </w:r>
      <w:r>
        <w:rPr>
          <w:i/>
          <w:iCs/>
        </w:rPr>
        <w:t xml:space="preserve">when the system is allowed to abstain</w:t>
      </w:r>
      <w:r>
        <w:t xml:space="preserve"> </w:t>
      </w:r>
      <w:r>
        <w:t xml:space="preserve">— the risk/coverage tradeoff is the result, not a footnote.</w:t>
      </w:r>
    </w:p>
    <w:p>
      <w:pPr>
        <w:pStyle w:val="Compact"/>
        <w:numPr>
          <w:ilvl w:val="0"/>
          <w:numId w:val="1022"/>
        </w:numPr>
      </w:pPr>
      <w:r>
        <w:rPr>
          <w:b/>
          <w:bCs/>
        </w:rPr>
        <w:t xml:space="preserve">Auditable lineage.</w:t>
      </w:r>
      <w:r>
        <w:t xml:space="preserve"> </w:t>
      </w:r>
      <w:r>
        <w:t xml:space="preserve">Immutable, versioned relation assertions let users inspect how every step in a citation lineage was generated, reviewed, or revised.</w:t>
      </w:r>
    </w:p>
    <w:bookmarkEnd w:id="81"/>
    <w:bookmarkStart w:id="82" w:name="precise-claims"/>
    <w:p>
      <w:pPr>
        <w:pStyle w:val="Heading2"/>
      </w:pPr>
      <w:r>
        <w:t xml:space="preserve">7.2 Precise claims</w:t>
      </w:r>
    </w:p>
    <w:p>
      <w:pPr>
        <w:pStyle w:val="FirstParagraph"/>
      </w:pPr>
      <w:r>
        <w:t xml:space="preserve">Two claims are stated carefully so the proposal does not overstate feasibility:</w:t>
      </w:r>
    </w:p>
    <w:p>
      <w:pPr>
        <w:numPr>
          <w:ilvl w:val="0"/>
          <w:numId w:val="1023"/>
        </w:numPr>
      </w:pPr>
      <w:r>
        <w:rPr>
          <w:b/>
          <w:bCs/>
        </w:rPr>
        <w:t xml:space="preserve">Tracing reaches an antecedent, not a proven origin.</w:t>
      </w:r>
      <w:r>
        <w:t xml:space="preserve"> </w:t>
      </w:r>
      <w:r>
        <w:t xml:space="preserve">A citation graph identifies an</w:t>
      </w:r>
      <w:r>
        <w:t xml:space="preserve"> </w:t>
      </w:r>
      <w:r>
        <w:rPr>
          <w:i/>
          <w:iCs/>
        </w:rPr>
        <w:t xml:space="preserve">earlier cited antecedent</w:t>
      </w:r>
      <w:r>
        <w:t xml:space="preserve">, or the earliest source found</w:t>
      </w:r>
      <w:r>
        <w:t xml:space="preserve"> </w:t>
      </w:r>
      <w:r>
        <w:rPr>
          <w:i/>
          <w:iCs/>
        </w:rPr>
        <w:t xml:space="preserve">within the traversed corpus</w:t>
      </w:r>
      <w:r>
        <w:t xml:space="preserve">. It cannot prove intellectual originality — papers omit citations, cite secondary sources, and independently derive similar findings. The honest claim is still valuable; the overstated one is attackable.</w:t>
      </w:r>
    </w:p>
    <w:p>
      <w:pPr>
        <w:numPr>
          <w:ilvl w:val="0"/>
          <w:numId w:val="1023"/>
        </w:numPr>
      </w:pPr>
      <w:r>
        <w:rPr>
          <w:b/>
          <w:bCs/>
        </w:rPr>
        <w:t xml:space="preserve">Clustering is safe by construction, not merely reversible.</w:t>
      </w:r>
    </w:p>
    <w:p>
      <w:pPr>
        <w:pStyle w:val="BlockText"/>
        <w:numPr>
          <w:ilvl w:val="0"/>
          <w:numId w:val="1000"/>
        </w:numPr>
      </w:pPr>
      <w:r>
        <w:t xml:space="preserve">Automated clustering is non-destructive, measurable, and reversible — but uncertain clusters do not become authoritative without meeting a validated threshold or receiving review.</w:t>
      </w:r>
    </w:p>
    <w:p>
      <w:pPr>
        <w:numPr>
          <w:ilvl w:val="0"/>
          <w:numId w:val="1000"/>
        </w:numPr>
      </w:pPr>
      <w:r>
        <w:t xml:space="preserve">Reversibility bounds duration of damage, not blast radius; the design backing this wording is in</w:t>
      </w:r>
      <w:r>
        <w:t xml:space="preserve"> </w:t>
      </w:r>
      <w:hyperlink r:id="rId46">
        <w:r>
          <w:rPr>
            <w:rStyle w:val="Hyperlink"/>
          </w:rPr>
          <w:t xml:space="preserve">data-model.md</w:t>
        </w:r>
      </w:hyperlink>
      <w:r>
        <w:t xml:space="preserve">.</w:t>
      </w:r>
    </w:p>
    <w:bookmarkEnd w:id="82"/>
    <w:bookmarkStart w:id="83" w:name="narrative"/>
    <w:p>
      <w:pPr>
        <w:pStyle w:val="Heading2"/>
      </w:pPr>
      <w:r>
        <w:t xml:space="preserve">7.3 Narrative</w:t>
      </w:r>
    </w:p>
    <w:p>
      <w:pPr>
        <w:pStyle w:val="FirstParagraph"/>
      </w:pPr>
      <w:r>
        <w:t xml:space="preserve">The strongest part of the proposal: InterCiter</w:t>
      </w:r>
      <w:r>
        <w:t xml:space="preserve"> </w:t>
      </w:r>
      <w:r>
        <w:rPr>
          <w:b/>
          <w:bCs/>
        </w:rPr>
        <w:t xml:space="preserve">builds on existing infrastructure</w:t>
      </w:r>
      <w:r>
        <w:t xml:space="preserve"> </w:t>
      </w:r>
      <w:r>
        <w:t xml:space="preserve">(BioLink schema extension, RoboKop provenance plumbing, Semantic Scholar paper/citation substrate) rather than re-solving bibliographic parsing. Its novelty is precisely the three hypotheses: source-grounded claim extraction, selective alignment, and auditable lineage. The relation model strengthens the BioLink story — evidence-bearing</w:t>
      </w:r>
      <w:r>
        <w:t xml:space="preserve"> </w:t>
      </w:r>
      <w:r>
        <w:rPr>
          <w:rStyle w:val="VerbatimChar"/>
        </w:rPr>
        <w:t xml:space="preserve">RelationAssertion</w:t>
      </w:r>
      <w:r>
        <w:t xml:space="preserve">s map naturally onto BioLink’s provenance-heavy association pattern.</w:t>
      </w:r>
    </w:p>
    <w:bookmarkEnd w:id="83"/>
    <w:bookmarkStart w:id="84" w:name="budget-honesty"/>
    <w:p>
      <w:pPr>
        <w:pStyle w:val="Heading2"/>
      </w:pPr>
      <w:r>
        <w:t xml:space="preserve">7.4 Budget honesty</w:t>
      </w:r>
    </w:p>
    <w:p>
      <w:pPr>
        <w:pStyle w:val="FirstParagraph"/>
      </w:pPr>
      <w:r>
        <w:t xml:space="preserve">Two costs are named up front rather than discovered later:</w:t>
      </w:r>
    </w:p>
    <w:p>
      <w:pPr>
        <w:pStyle w:val="Compact"/>
        <w:numPr>
          <w:ilvl w:val="0"/>
          <w:numId w:val="1024"/>
        </w:numPr>
      </w:pPr>
      <w:r>
        <w:rPr>
          <w:b/>
          <w:bCs/>
        </w:rPr>
        <w:t xml:space="preserve">The adjudicated annotation corpus is the budget crux.</w:t>
      </w:r>
      <w:r>
        <w:t xml:space="preserve"> </w:t>
      </w:r>
      <w:r>
        <w:t xml:space="preserve">Guideline development, multi-annotator labeling, agreement analysis, and adjudication are the largest non-engineering line item — and a legitimate thing to request funding for, since the corpus is itself a reusable contribution.</w:t>
      </w:r>
    </w:p>
    <w:p>
      <w:pPr>
        <w:pStyle w:val="Compact"/>
        <w:numPr>
          <w:ilvl w:val="0"/>
          <w:numId w:val="1024"/>
        </w:numPr>
      </w:pPr>
      <w:r>
        <w:rPr>
          <w:b/>
          <w:bCs/>
        </w:rPr>
        <w:t xml:space="preserve">LLM extraction cost at corpus scale</w:t>
      </w:r>
      <w:r>
        <w:t xml:space="preserve"> </w:t>
      </w:r>
      <w:r>
        <w:t xml:space="preserve">is a reported evaluation metric (cost per paper) and a feasibility parameter, interacting with model choice and any multi-model comparison.</w:t>
      </w:r>
    </w:p>
    <w:bookmarkEnd w:id="84"/>
    <w:bookmarkStart w:id="85" w:name="domain-scope-decided-deliberately"/>
    <w:p>
      <w:pPr>
        <w:pStyle w:val="Heading2"/>
      </w:pPr>
      <w:r>
        <w:t xml:space="preserve">7.5 Domain scope, decided deliberately</w:t>
      </w:r>
    </w:p>
    <w:p>
      <w:pPr>
        <w:pStyle w:val="FirstParagraph"/>
      </w:pPr>
      <w:r>
        <w:t xml:space="preserve">The MVP narrows to</w:t>
      </w:r>
      <w:r>
        <w:t xml:space="preserve"> </w:t>
      </w:r>
      <w:r>
        <w:rPr>
          <w:b/>
          <w:bCs/>
        </w:rPr>
        <w:t xml:space="preserve">empirical result claims in one open-access biomedical subdomain</w:t>
      </w:r>
      <w:r>
        <w:t xml:space="preserve"> </w:t>
      </w:r>
      <w:r>
        <w:t xml:space="preserve">(see</w:t>
      </w:r>
      <w:r>
        <w:t xml:space="preserve"> </w:t>
      </w:r>
      <w:hyperlink r:id="rId70">
        <w:r>
          <w:rPr>
            <w:rStyle w:val="Hyperlink"/>
          </w:rPr>
          <w:t xml:space="preserve">../interciter-systems-design.md</w:t>
        </w:r>
      </w:hyperlink>
      <w:r>
        <w:t xml:space="preserve">). Domain-agnostic remains the stated long-term direction, framed as: the</w:t>
      </w:r>
      <w:r>
        <w:t xml:space="preserve"> </w:t>
      </w:r>
      <w:r>
        <w:rPr>
          <w:i/>
          <w:iCs/>
        </w:rPr>
        <w:t xml:space="preserve">architecture</w:t>
      </w:r>
      <w:r>
        <w:t xml:space="preserve"> </w:t>
      </w:r>
      <w:r>
        <w:t xml:space="preserve">(evidence anchoring, assertion model, abstention) is domain-neutral; the</w:t>
      </w:r>
      <w:r>
        <w:t xml:space="preserve"> </w:t>
      </w:r>
      <w:r>
        <w:rPr>
          <w:i/>
          <w:iCs/>
        </w:rPr>
        <w:t xml:space="preserve">vocabularies</w:t>
      </w:r>
      <w:r>
        <w:t xml:space="preserve"> </w:t>
      </w:r>
      <w:r>
        <w:t xml:space="preserve">(entity categories, qualifier sets) are domain plugins, with BioLink as the first. This turns the narrowing into a design statement rather than a retreat.</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interciter-systems-design.md" TargetMode="External" /><Relationship Type="http://schemas.openxmlformats.org/officeDocument/2006/relationships/hyperlink" Id="rId41" Target="../schema/interciter.yaml" TargetMode="External" /><Relationship Type="http://schemas.openxmlformats.org/officeDocument/2006/relationships/hyperlink" Id="rId42" Target="../schema/requirements.txt" TargetMode="External" /><Relationship Type="http://schemas.openxmlformats.org/officeDocument/2006/relationships/hyperlink" Id="rId49" Target="api.md" TargetMode="External" /><Relationship Type="http://schemas.openxmlformats.org/officeDocument/2006/relationships/hyperlink" Id="rId26" Target="architecture.md" TargetMode="External" /><Relationship Type="http://schemas.openxmlformats.org/officeDocument/2006/relationships/hyperlink" Id="rId46" Target="data-model.md" TargetMode="External" /><Relationship Type="http://schemas.openxmlformats.org/officeDocument/2006/relationships/hyperlink" Id="rId9" Target="docs/" TargetMode="External" /><Relationship Type="http://schemas.openxmlformats.org/officeDocument/2006/relationships/hyperlink" Id="rId14" Target="docs/api.md" TargetMode="External" /><Relationship Type="http://schemas.openxmlformats.org/officeDocument/2006/relationships/hyperlink" Id="rId11" Target="docs/architecture.md" TargetMode="External" /><Relationship Type="http://schemas.openxmlformats.org/officeDocument/2006/relationships/hyperlink" Id="rId10" Target="docs/data-model.md" TargetMode="External" /><Relationship Type="http://schemas.openxmlformats.org/officeDocument/2006/relationships/hyperlink" Id="rId13" Target="docs/evaluation.md" TargetMode="External" /><Relationship Type="http://schemas.openxmlformats.org/officeDocument/2006/relationships/hyperlink" Id="rId15" Target="docs/grant-framing.md" TargetMode="External" /><Relationship Type="http://schemas.openxmlformats.org/officeDocument/2006/relationships/hyperlink" Id="rId12" Target="docs/scoring-and-review.md" TargetMode="External" /><Relationship Type="http://schemas.openxmlformats.org/officeDocument/2006/relationships/hyperlink" Id="rId31" Target="evaluation.md" TargetMode="External" /><Relationship Type="http://schemas.openxmlformats.org/officeDocument/2006/relationships/hyperlink" Id="rId40" Target="https://linkml.io" TargetMode="External" /><Relationship Type="http://schemas.openxmlformats.org/officeDocument/2006/relationships/hyperlink" Id="rId32" Target="scoring-and-review.md" TargetMode="External" /></Relationships>
</file>

<file path=word/_rels/footnotes.xml.rels><?xml version="1.0" encoding="UTF-8"?><Relationships xmlns="http://schemas.openxmlformats.org/package/2006/relationships"><Relationship Type="http://schemas.openxmlformats.org/officeDocument/2006/relationships/hyperlink" Id="rId70" Target="../interciter-systems-design.md" TargetMode="External" /><Relationship Type="http://schemas.openxmlformats.org/officeDocument/2006/relationships/hyperlink" Id="rId41" Target="../schema/interciter.yaml" TargetMode="External" /><Relationship Type="http://schemas.openxmlformats.org/officeDocument/2006/relationships/hyperlink" Id="rId42" Target="../schema/requirements.txt" TargetMode="External" /><Relationship Type="http://schemas.openxmlformats.org/officeDocument/2006/relationships/hyperlink" Id="rId49" Target="api.md" TargetMode="External" /><Relationship Type="http://schemas.openxmlformats.org/officeDocument/2006/relationships/hyperlink" Id="rId26" Target="architecture.md" TargetMode="External" /><Relationship Type="http://schemas.openxmlformats.org/officeDocument/2006/relationships/hyperlink" Id="rId46" Target="data-model.md" TargetMode="External" /><Relationship Type="http://schemas.openxmlformats.org/officeDocument/2006/relationships/hyperlink" Id="rId9" Target="docs/" TargetMode="External" /><Relationship Type="http://schemas.openxmlformats.org/officeDocument/2006/relationships/hyperlink" Id="rId14" Target="docs/api.md" TargetMode="External" /><Relationship Type="http://schemas.openxmlformats.org/officeDocument/2006/relationships/hyperlink" Id="rId11" Target="docs/architecture.md" TargetMode="External" /><Relationship Type="http://schemas.openxmlformats.org/officeDocument/2006/relationships/hyperlink" Id="rId10" Target="docs/data-model.md" TargetMode="External" /><Relationship Type="http://schemas.openxmlformats.org/officeDocument/2006/relationships/hyperlink" Id="rId13" Target="docs/evaluation.md" TargetMode="External" /><Relationship Type="http://schemas.openxmlformats.org/officeDocument/2006/relationships/hyperlink" Id="rId15" Target="docs/grant-framing.md" TargetMode="External" /><Relationship Type="http://schemas.openxmlformats.org/officeDocument/2006/relationships/hyperlink" Id="rId12" Target="docs/scoring-and-review.md" TargetMode="External" /><Relationship Type="http://schemas.openxmlformats.org/officeDocument/2006/relationships/hyperlink" Id="rId31" Target="evaluation.md" TargetMode="External" /><Relationship Type="http://schemas.openxmlformats.org/officeDocument/2006/relationships/hyperlink" Id="rId40" Target="https://linkml.io" TargetMode="External" /><Relationship Type="http://schemas.openxmlformats.org/officeDocument/2006/relationships/hyperlink" Id="rId32" Target="scoring-and-revie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InterCiter — Systems Design</dc:title>
  <dc:creator/>
  <cp:keywords/>
  <dcterms:created xsi:type="dcterms:W3CDTF">2026-07-21T03:22:08Z</dcterms:created>
  <dcterms:modified xsi:type="dcterms:W3CDTF">2026-07-21T03:22:08Z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2026-07-20</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Combined design document for review</vt:lpwstr>
  </property>
  <property fmtid="{D5CDD505-2E9C-101B-9397-08002B2CF9AE}" pid="10" name="toc-title">
    <vt:lpwstr>Table of contents</vt:lpwstr>
  </property>
</Properties>
</file>