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1C59" w14:paraId="4B5932DB" w14:textId="77777777">
        <w:tc>
          <w:tcPr>
            <w:tcW w:w="9360" w:type="dxa"/>
            <w:tcBorders>
              <w:top w:val="single" w:sz="4" w:space="0" w:color="9BA7B8"/>
              <w:left w:val="single" w:sz="4" w:space="0" w:color="9BA7B8"/>
              <w:bottom w:val="single" w:sz="4" w:space="0" w:color="9BA7B8"/>
              <w:right w:val="single" w:sz="4" w:space="0" w:color="9BA7B8"/>
            </w:tcBorders>
            <w:shd w:val="clear" w:color="auto" w:fill="2E4E7E"/>
            <w:tcMar>
              <w:top w:w="120" w:type="dxa"/>
              <w:left w:w="160" w:type="dxa"/>
              <w:bottom w:w="60" w:type="dxa"/>
              <w:right w:w="160" w:type="dxa"/>
            </w:tcMar>
          </w:tcPr>
          <w:p w14:paraId="3B980E63" w14:textId="77777777" w:rsidR="00DF1C59" w:rsidRDefault="002B0650">
            <w:pPr>
              <w:spacing w:after="20"/>
              <w:jc w:val="center"/>
            </w:pPr>
            <w:r>
              <w:rPr>
                <w:b/>
                <w:bCs/>
                <w:color w:val="FFFFFF"/>
                <w:sz w:val="30"/>
                <w:szCs w:val="30"/>
              </w:rPr>
              <w:t>EXECUTIVE SUMMARY</w:t>
            </w:r>
          </w:p>
          <w:p w14:paraId="536CAF06" w14:textId="77777777" w:rsidR="00DF1C59" w:rsidRDefault="002B0650">
            <w:pPr>
              <w:jc w:val="center"/>
            </w:pPr>
            <w:r>
              <w:rPr>
                <w:color w:val="FFFFFF"/>
                <w:sz w:val="22"/>
                <w:szCs w:val="22"/>
              </w:rPr>
              <w:t>Generative Artificial Intelligence Integration</w:t>
            </w:r>
          </w:p>
          <w:p w14:paraId="0B8368D4" w14:textId="77777777" w:rsidR="00DF1C59" w:rsidRDefault="002B0650">
            <w:pPr>
              <w:spacing w:after="40"/>
              <w:jc w:val="center"/>
            </w:pPr>
            <w:r>
              <w:rPr>
                <w:color w:val="C9D6EA"/>
                <w:sz w:val="20"/>
                <w:szCs w:val="20"/>
              </w:rPr>
              <w:t>78th Training Division  │  84th Training Command</w:t>
            </w:r>
          </w:p>
        </w:tc>
      </w:tr>
    </w:tbl>
    <w:p w14:paraId="3800CAFC" w14:textId="77777777" w:rsidR="00DF1C59" w:rsidRDefault="00DF1C5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F1C59" w14:paraId="0549A0AF" w14:textId="77777777">
        <w:tc>
          <w:tcPr>
            <w:tcW w:w="312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1177EDB5" w14:textId="77777777" w:rsidR="00DF1C59" w:rsidRDefault="002B0650">
            <w:r>
              <w:rPr>
                <w:b/>
                <w:bCs/>
                <w:sz w:val="18"/>
                <w:szCs w:val="18"/>
              </w:rPr>
              <w:t xml:space="preserve">Prepared By:  </w:t>
            </w:r>
            <w:r>
              <w:rPr>
                <w:sz w:val="18"/>
                <w:szCs w:val="18"/>
              </w:rPr>
              <w:t>LTC Trey Waversak, 78th TD AI-Integrations Cell</w:t>
            </w:r>
          </w:p>
        </w:tc>
        <w:tc>
          <w:tcPr>
            <w:tcW w:w="312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40E6E928" w14:textId="77777777" w:rsidR="00DF1C59" w:rsidRDefault="002B0650">
            <w:r>
              <w:rPr>
                <w:b/>
                <w:bCs/>
                <w:sz w:val="18"/>
                <w:szCs w:val="18"/>
              </w:rPr>
              <w:t xml:space="preserve">Proponent:  </w:t>
            </w:r>
            <w:r>
              <w:rPr>
                <w:sz w:val="18"/>
                <w:szCs w:val="18"/>
              </w:rPr>
              <w:t>84th TC AI Integration Working Group</w:t>
            </w:r>
          </w:p>
        </w:tc>
        <w:tc>
          <w:tcPr>
            <w:tcW w:w="312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758B8A68" w14:textId="77777777" w:rsidR="00DF1C59" w:rsidRDefault="002B0650">
            <w:r>
              <w:rPr>
                <w:b/>
                <w:bCs/>
                <w:sz w:val="18"/>
                <w:szCs w:val="18"/>
              </w:rPr>
              <w:t xml:space="preserve">Date:  </w:t>
            </w:r>
            <w:r>
              <w:rPr>
                <w:sz w:val="18"/>
                <w:szCs w:val="18"/>
              </w:rPr>
              <w:t>18 June 2026</w:t>
            </w:r>
          </w:p>
        </w:tc>
      </w:tr>
    </w:tbl>
    <w:p w14:paraId="74A61870" w14:textId="77777777" w:rsidR="00DF1C59" w:rsidRDefault="00DF1C5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1C59" w14:paraId="7B59449C" w14:textId="77777777">
        <w:tc>
          <w:tcPr>
            <w:tcW w:w="9360" w:type="dxa"/>
            <w:tcBorders>
              <w:top w:val="single" w:sz="4" w:space="0" w:color="9BA7B8"/>
              <w:left w:val="single" w:sz="28" w:space="0" w:color="2E4E7E"/>
              <w:bottom w:val="single" w:sz="4" w:space="0" w:color="9BA7B8"/>
              <w:right w:val="single" w:sz="4" w:space="0" w:color="9BA7B8"/>
            </w:tcBorders>
            <w:shd w:val="clear" w:color="auto" w:fill="F3F1E7"/>
            <w:tcMar>
              <w:top w:w="120" w:type="dxa"/>
              <w:left w:w="160" w:type="dxa"/>
              <w:bottom w:w="120" w:type="dxa"/>
              <w:right w:w="160" w:type="dxa"/>
            </w:tcMar>
          </w:tcPr>
          <w:p w14:paraId="230469BD" w14:textId="4406C546" w:rsidR="00DF1C59" w:rsidRDefault="002B0650">
            <w:pPr>
              <w:spacing w:line="264" w:lineRule="auto"/>
            </w:pPr>
            <w:r>
              <w:rPr>
                <w:b/>
                <w:bCs/>
                <w:color w:val="2E4E7E"/>
                <w:sz w:val="22"/>
                <w:szCs w:val="22"/>
              </w:rPr>
              <w:t xml:space="preserve">BLUF.  </w:t>
            </w:r>
            <w:r>
              <w:t xml:space="preserve">The 78th Training Division has fielded a proven, accredited generative AI capability (Ask Sage at IL5 / FedRAMP High) and measured its impact at Operation Sentinel Justice (OSJ) 2026. A controlled practical exercise established the manual baseline; throughput modeling projects a ~97% reduction in TAF review-stage processing burden and a ~58% compression of the end-to-end observation cycle. Early live employment data (N = 8) confirms real efficiency and quality gains while keeping a human verifier on every product. More than </w:t>
            </w:r>
            <w:r w:rsidR="005A1BFF">
              <w:t>3</w:t>
            </w:r>
            <w:r>
              <w:t xml:space="preserve">00 personnel have been trained or reached. The capability is ready to scale. </w:t>
            </w:r>
            <w:r>
              <w:rPr>
                <w:b/>
                <w:bCs/>
              </w:rPr>
              <w:t>Decision required: approve institutionalization, enterprise licensing, command-wide expansion, and Phase 2 planning.</w:t>
            </w:r>
          </w:p>
        </w:tc>
      </w:tr>
    </w:tbl>
    <w:p w14:paraId="2AAA036B" w14:textId="77777777" w:rsidR="00DF1C59" w:rsidRDefault="002B0650">
      <w:pPr>
        <w:spacing w:before="220" w:after="100"/>
      </w:pPr>
      <w:r>
        <w:rPr>
          <w:b/>
          <w:bCs/>
          <w:color w:val="2E4E7E"/>
          <w:sz w:val="24"/>
          <w:szCs w:val="24"/>
        </w:rPr>
        <w:t>1.  THE PROBLEM</w:t>
      </w:r>
    </w:p>
    <w:p w14:paraId="5751E554" w14:textId="77777777" w:rsidR="00DF1C59" w:rsidRDefault="002B0650">
      <w:pPr>
        <w:spacing w:after="120" w:line="268" w:lineRule="auto"/>
      </w:pPr>
      <w:r>
        <w:t>The JLLIS observation life cycle bottlenecks at the Training Analysis and Feedback (TAF) Tier 2 review. Under compressed exercise timelines, manual review of an observation’s narrative sections averaged 15.82 minutes per Command Training Objective (CTO) — an estimated ~24.8 minutes once analysts who reached the exercise time cap are counted — while missing roughly 41% of planted errors on first pass. Because the exercise scored only narrative sections (not Administrative Data or T&amp;EO), these figures are a conservative floor. At OSJ scale (270 CTOs, 58 analysts), the manual process imposed an aggregate burden in the tens-to-low-hundreds of person-hours and compressed the time available to refine feedback to Rotational Training Units (RTUs) precisely when that feedback mattered most. The gap could not be closed by assigning more senior analysts: years of experience correlated only weakly with first-pass accuracy (Pearson 0.24). These conditions defined the problem the GenAI pilot was built to solve — and, as the results below show, did solve.</w:t>
      </w:r>
    </w:p>
    <w:p w14:paraId="7BD7AFF6" w14:textId="77777777" w:rsidR="00DF1C59" w:rsidRDefault="002B0650">
      <w:pPr>
        <w:spacing w:before="220" w:after="100"/>
      </w:pPr>
      <w:r>
        <w:rPr>
          <w:b/>
          <w:bCs/>
          <w:color w:val="2E4E7E"/>
          <w:sz w:val="24"/>
          <w:szCs w:val="24"/>
        </w:rPr>
        <w:t>2.  THE SOLUTION</w:t>
      </w:r>
    </w:p>
    <w:p w14:paraId="1C867884" w14:textId="77777777" w:rsidR="00DF1C59" w:rsidRDefault="002B0650">
      <w:pPr>
        <w:spacing w:after="120" w:line="268" w:lineRule="auto"/>
      </w:pPr>
      <w:r>
        <w:t>The 78th Training Division fielded a Divisional GenAI Package on Ask Sage (IL5 / FedRAMP High) — the only DoW-accredited platform employed. The package consists of three role-based AI personas (OCT, Chief OCT, TAF Analyst), a controlled prompt library, and standardized input templates. Employment follows a simple three-step method: paste the persona, paste the task prompt, attach the completed observation. The model extracts unit, task, date, and context automatically. Guardrails are embedded by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F1C59" w14:paraId="58F51DD6" w14:textId="77777777">
        <w:tc>
          <w:tcPr>
            <w:tcW w:w="300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6DCA1513" w14:textId="77777777" w:rsidR="00DF1C59" w:rsidRDefault="002B0650">
            <w:r>
              <w:rPr>
                <w:b/>
                <w:bCs/>
                <w:sz w:val="19"/>
                <w:szCs w:val="19"/>
              </w:rPr>
              <w:t>No readiness ratings assigned</w:t>
            </w:r>
          </w:p>
        </w:tc>
        <w:tc>
          <w:tcPr>
            <w:tcW w:w="636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7C9771C9" w14:textId="77777777" w:rsidR="00DF1C59" w:rsidRDefault="002B0650">
            <w:r>
              <w:rPr>
                <w:color w:val="000000"/>
                <w:sz w:val="19"/>
                <w:szCs w:val="19"/>
              </w:rPr>
              <w:t>Human evaluators retain all T/P/U authority — the model never assigns ratings.</w:t>
            </w:r>
          </w:p>
        </w:tc>
      </w:tr>
      <w:tr w:rsidR="00DF1C59" w14:paraId="3188E3AD" w14:textId="77777777">
        <w:tc>
          <w:tcPr>
            <w:tcW w:w="30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4E867149" w14:textId="77777777" w:rsidR="00DF1C59" w:rsidRDefault="002B0650">
            <w:r>
              <w:rPr>
                <w:b/>
                <w:bCs/>
                <w:sz w:val="19"/>
                <w:szCs w:val="19"/>
              </w:rPr>
              <w:t>UNCLASSIFIED / NIPR only</w:t>
            </w:r>
          </w:p>
        </w:tc>
        <w:tc>
          <w:tcPr>
            <w:tcW w:w="636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16B4CF7E" w14:textId="77777777" w:rsidR="00DF1C59" w:rsidRDefault="002B0650">
            <w:r>
              <w:rPr>
                <w:color w:val="000000"/>
                <w:sz w:val="19"/>
                <w:szCs w:val="19"/>
              </w:rPr>
              <w:t>No classified, PII, or sensitive vulnerability data is entered.</w:t>
            </w:r>
          </w:p>
        </w:tc>
      </w:tr>
      <w:tr w:rsidR="00DF1C59" w14:paraId="6E25CF23" w14:textId="77777777">
        <w:tc>
          <w:tcPr>
            <w:tcW w:w="300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6B932196" w14:textId="77777777" w:rsidR="00DF1C59" w:rsidRDefault="002B0650">
            <w:r>
              <w:rPr>
                <w:b/>
                <w:bCs/>
                <w:sz w:val="19"/>
                <w:szCs w:val="19"/>
              </w:rPr>
              <w:t>Verify before submitting</w:t>
            </w:r>
          </w:p>
        </w:tc>
        <w:tc>
          <w:tcPr>
            <w:tcW w:w="636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067C6B1C" w14:textId="77777777" w:rsidR="00DF1C59" w:rsidRDefault="002B0650">
            <w:r>
              <w:rPr>
                <w:color w:val="000000"/>
                <w:sz w:val="19"/>
                <w:szCs w:val="19"/>
              </w:rPr>
              <w:t>All AI-generated products are verified against current doctrine prior to submission.</w:t>
            </w:r>
          </w:p>
        </w:tc>
      </w:tr>
      <w:tr w:rsidR="00DF1C59" w14:paraId="291F5EF9" w14:textId="77777777">
        <w:tc>
          <w:tcPr>
            <w:tcW w:w="30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3B8853DF" w14:textId="77777777" w:rsidR="00DF1C59" w:rsidRDefault="002B0650">
            <w:r>
              <w:rPr>
                <w:b/>
                <w:bCs/>
                <w:sz w:val="19"/>
                <w:szCs w:val="19"/>
              </w:rPr>
              <w:t>Human authority retained</w:t>
            </w:r>
          </w:p>
        </w:tc>
        <w:tc>
          <w:tcPr>
            <w:tcW w:w="636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78066A0D" w14:textId="77777777" w:rsidR="00DF1C59" w:rsidRDefault="002B0650">
            <w:r>
              <w:rPr>
                <w:color w:val="000000"/>
                <w:sz w:val="19"/>
                <w:szCs w:val="19"/>
              </w:rPr>
              <w:t>The OCT owns the observation; the analyst validates it; the model is decision support, never decision authority.</w:t>
            </w:r>
          </w:p>
        </w:tc>
      </w:tr>
    </w:tbl>
    <w:p w14:paraId="4B2C8889" w14:textId="77777777" w:rsidR="005A1BFF" w:rsidRDefault="005A1BFF">
      <w:pPr>
        <w:spacing w:before="220" w:after="100"/>
        <w:rPr>
          <w:b/>
          <w:bCs/>
          <w:color w:val="2E4E7E"/>
          <w:sz w:val="24"/>
          <w:szCs w:val="24"/>
        </w:rPr>
      </w:pPr>
    </w:p>
    <w:p w14:paraId="479F07A3" w14:textId="77777777" w:rsidR="005A1BFF" w:rsidRDefault="005A1BFF">
      <w:pPr>
        <w:spacing w:before="220" w:after="100"/>
        <w:rPr>
          <w:b/>
          <w:bCs/>
          <w:color w:val="2E4E7E"/>
          <w:sz w:val="24"/>
          <w:szCs w:val="24"/>
        </w:rPr>
      </w:pPr>
    </w:p>
    <w:p w14:paraId="338B3FD0" w14:textId="067EC02C" w:rsidR="00DF1C59" w:rsidRDefault="002B0650">
      <w:pPr>
        <w:spacing w:before="220" w:after="100"/>
      </w:pPr>
      <w:r>
        <w:rPr>
          <w:b/>
          <w:bCs/>
          <w:color w:val="2E4E7E"/>
          <w:sz w:val="24"/>
          <w:szCs w:val="24"/>
        </w:rPr>
        <w:lastRenderedPageBreak/>
        <w:t>3.  RESULTS</w:t>
      </w:r>
    </w:p>
    <w:p w14:paraId="001BE1BD" w14:textId="77777777" w:rsidR="00DF1C59" w:rsidRDefault="002B0650">
      <w:pPr>
        <w:spacing w:after="120" w:line="268" w:lineRule="auto"/>
      </w:pPr>
      <w:r>
        <w:t>On 10 June 2026, during OSJ 2026 Control School training, MAJ Robert McDavid (78th TD AI-Integrations Cell) conducted a controlled practical exercise with 39 TAF Analysts (E6–O5), who reviewed a company-level JLLIS observation containing eight deliberate, scoreable errors under a 20-minute constraint. The exercise established the manual baseline; the projections below scale that baseline across the OSJ population.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980"/>
        <w:gridCol w:w="2160"/>
        <w:gridCol w:w="1860"/>
      </w:tblGrid>
      <w:tr w:rsidR="00DF1C59" w14:paraId="1C21E8B2" w14:textId="77777777">
        <w:trPr>
          <w:tblHeader/>
        </w:trPr>
        <w:tc>
          <w:tcPr>
            <w:tcW w:w="3360" w:type="dxa"/>
            <w:tcBorders>
              <w:top w:val="single" w:sz="4" w:space="0" w:color="9BA7B8"/>
              <w:left w:val="single" w:sz="4" w:space="0" w:color="9BA7B8"/>
              <w:bottom w:val="single" w:sz="4" w:space="0" w:color="9BA7B8"/>
              <w:right w:val="single" w:sz="4" w:space="0" w:color="9BA7B8"/>
            </w:tcBorders>
            <w:shd w:val="clear" w:color="auto" w:fill="2E4E7E"/>
            <w:tcMar>
              <w:top w:w="60" w:type="dxa"/>
              <w:left w:w="110" w:type="dxa"/>
              <w:bottom w:w="60" w:type="dxa"/>
              <w:right w:w="110" w:type="dxa"/>
            </w:tcMar>
            <w:vAlign w:val="center"/>
          </w:tcPr>
          <w:p w14:paraId="48AFB499" w14:textId="77777777" w:rsidR="00DF1C59" w:rsidRDefault="002B0650">
            <w:r>
              <w:rPr>
                <w:b/>
                <w:bCs/>
                <w:color w:val="FFFFFF"/>
                <w:sz w:val="19"/>
                <w:szCs w:val="19"/>
              </w:rPr>
              <w:t>Measure (modeled projection)</w:t>
            </w:r>
          </w:p>
        </w:tc>
        <w:tc>
          <w:tcPr>
            <w:tcW w:w="1980" w:type="dxa"/>
            <w:tcBorders>
              <w:top w:val="single" w:sz="4" w:space="0" w:color="9BA7B8"/>
              <w:left w:val="single" w:sz="4" w:space="0" w:color="9BA7B8"/>
              <w:bottom w:val="single" w:sz="4" w:space="0" w:color="9BA7B8"/>
              <w:right w:val="single" w:sz="4" w:space="0" w:color="9BA7B8"/>
            </w:tcBorders>
            <w:shd w:val="clear" w:color="auto" w:fill="2E4E7E"/>
            <w:tcMar>
              <w:top w:w="60" w:type="dxa"/>
              <w:left w:w="110" w:type="dxa"/>
              <w:bottom w:w="60" w:type="dxa"/>
              <w:right w:w="110" w:type="dxa"/>
            </w:tcMar>
            <w:vAlign w:val="center"/>
          </w:tcPr>
          <w:p w14:paraId="17B0407B" w14:textId="77777777" w:rsidR="00DF1C59" w:rsidRDefault="002B0650">
            <w:pPr>
              <w:jc w:val="center"/>
            </w:pPr>
            <w:r>
              <w:rPr>
                <w:b/>
                <w:bCs/>
                <w:color w:val="FFFFFF"/>
                <w:sz w:val="19"/>
                <w:szCs w:val="19"/>
              </w:rPr>
              <w:t>Manual</w:t>
            </w:r>
          </w:p>
        </w:tc>
        <w:tc>
          <w:tcPr>
            <w:tcW w:w="2160" w:type="dxa"/>
            <w:tcBorders>
              <w:top w:val="single" w:sz="4" w:space="0" w:color="9BA7B8"/>
              <w:left w:val="single" w:sz="4" w:space="0" w:color="9BA7B8"/>
              <w:bottom w:val="single" w:sz="4" w:space="0" w:color="9BA7B8"/>
              <w:right w:val="single" w:sz="4" w:space="0" w:color="9BA7B8"/>
            </w:tcBorders>
            <w:shd w:val="clear" w:color="auto" w:fill="2E4E7E"/>
            <w:tcMar>
              <w:top w:w="60" w:type="dxa"/>
              <w:left w:w="110" w:type="dxa"/>
              <w:bottom w:w="60" w:type="dxa"/>
              <w:right w:w="110" w:type="dxa"/>
            </w:tcMar>
            <w:vAlign w:val="center"/>
          </w:tcPr>
          <w:p w14:paraId="5FA669F3" w14:textId="77777777" w:rsidR="00DF1C59" w:rsidRDefault="002B0650">
            <w:pPr>
              <w:jc w:val="center"/>
            </w:pPr>
            <w:r>
              <w:rPr>
                <w:b/>
                <w:bCs/>
                <w:color w:val="FFFFFF"/>
                <w:sz w:val="19"/>
                <w:szCs w:val="19"/>
              </w:rPr>
              <w:t>AI-Assisted</w:t>
            </w:r>
          </w:p>
        </w:tc>
        <w:tc>
          <w:tcPr>
            <w:tcW w:w="1860" w:type="dxa"/>
            <w:tcBorders>
              <w:top w:val="single" w:sz="4" w:space="0" w:color="9BA7B8"/>
              <w:left w:val="single" w:sz="4" w:space="0" w:color="9BA7B8"/>
              <w:bottom w:val="single" w:sz="4" w:space="0" w:color="9BA7B8"/>
              <w:right w:val="single" w:sz="4" w:space="0" w:color="9BA7B8"/>
            </w:tcBorders>
            <w:shd w:val="clear" w:color="auto" w:fill="2E4E7E"/>
            <w:tcMar>
              <w:top w:w="60" w:type="dxa"/>
              <w:left w:w="110" w:type="dxa"/>
              <w:bottom w:w="60" w:type="dxa"/>
              <w:right w:w="110" w:type="dxa"/>
            </w:tcMar>
            <w:vAlign w:val="center"/>
          </w:tcPr>
          <w:p w14:paraId="0E3B831F" w14:textId="77777777" w:rsidR="00DF1C59" w:rsidRDefault="002B0650">
            <w:pPr>
              <w:jc w:val="center"/>
            </w:pPr>
            <w:r>
              <w:rPr>
                <w:b/>
                <w:bCs/>
                <w:color w:val="FFFFFF"/>
                <w:sz w:val="19"/>
                <w:szCs w:val="19"/>
              </w:rPr>
              <w:t>Outcome</w:t>
            </w:r>
          </w:p>
        </w:tc>
      </w:tr>
      <w:tr w:rsidR="00DF1C59" w14:paraId="2EBF21C6" w14:textId="77777777">
        <w:tc>
          <w:tcPr>
            <w:tcW w:w="336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5BE8C37D" w14:textId="77777777" w:rsidR="00DF1C59" w:rsidRDefault="002B0650">
            <w:r>
              <w:rPr>
                <w:color w:val="000000"/>
                <w:sz w:val="19"/>
                <w:szCs w:val="19"/>
              </w:rPr>
              <w:t>TAF review burden (270 CTOs)</w:t>
            </w:r>
          </w:p>
        </w:tc>
        <w:tc>
          <w:tcPr>
            <w:tcW w:w="198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0BA06F8D" w14:textId="77777777" w:rsidR="00DF1C59" w:rsidRDefault="002B0650">
            <w:pPr>
              <w:jc w:val="center"/>
            </w:pPr>
            <w:r>
              <w:rPr>
                <w:color w:val="000000"/>
                <w:sz w:val="19"/>
                <w:szCs w:val="19"/>
              </w:rPr>
              <w:t>~115.9 hrs</w:t>
            </w:r>
          </w:p>
        </w:tc>
        <w:tc>
          <w:tcPr>
            <w:tcW w:w="216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24E41F3C" w14:textId="77777777" w:rsidR="00DF1C59" w:rsidRDefault="002B0650">
            <w:pPr>
              <w:jc w:val="center"/>
            </w:pPr>
            <w:r>
              <w:rPr>
                <w:color w:val="000000"/>
                <w:sz w:val="19"/>
                <w:szCs w:val="19"/>
              </w:rPr>
              <w:t>~3.25 hrs</w:t>
            </w:r>
          </w:p>
        </w:tc>
        <w:tc>
          <w:tcPr>
            <w:tcW w:w="186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5E8EFE50" w14:textId="77777777" w:rsidR="00DF1C59" w:rsidRDefault="002B0650">
            <w:pPr>
              <w:jc w:val="center"/>
            </w:pPr>
            <w:r>
              <w:rPr>
                <w:color w:val="000000"/>
                <w:sz w:val="19"/>
                <w:szCs w:val="19"/>
              </w:rPr>
              <w:t>~97% reduction</w:t>
            </w:r>
          </w:p>
        </w:tc>
      </w:tr>
      <w:tr w:rsidR="00DF1C59" w14:paraId="08092B90" w14:textId="77777777">
        <w:tc>
          <w:tcPr>
            <w:tcW w:w="336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757F732E" w14:textId="77777777" w:rsidR="00DF1C59" w:rsidRDefault="002B0650">
            <w:r>
              <w:rPr>
                <w:color w:val="000000"/>
                <w:sz w:val="19"/>
                <w:szCs w:val="19"/>
              </w:rPr>
              <w:t>End-to-end observation cycle</w:t>
            </w:r>
          </w:p>
        </w:tc>
        <w:tc>
          <w:tcPr>
            <w:tcW w:w="198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3572AC24" w14:textId="77777777" w:rsidR="00DF1C59" w:rsidRDefault="002B0650">
            <w:pPr>
              <w:jc w:val="center"/>
            </w:pPr>
            <w:r>
              <w:rPr>
                <w:color w:val="000000"/>
                <w:sz w:val="19"/>
                <w:szCs w:val="19"/>
              </w:rPr>
              <w:t>~7.59 hrs</w:t>
            </w:r>
          </w:p>
        </w:tc>
        <w:tc>
          <w:tcPr>
            <w:tcW w:w="216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0B42A172" w14:textId="77777777" w:rsidR="00DF1C59" w:rsidRDefault="002B0650">
            <w:pPr>
              <w:jc w:val="center"/>
            </w:pPr>
            <w:r>
              <w:rPr>
                <w:color w:val="000000"/>
                <w:sz w:val="19"/>
                <w:szCs w:val="19"/>
              </w:rPr>
              <w:t>~3.18 hrs</w:t>
            </w:r>
          </w:p>
        </w:tc>
        <w:tc>
          <w:tcPr>
            <w:tcW w:w="186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16384704" w14:textId="77777777" w:rsidR="00DF1C59" w:rsidRDefault="002B0650">
            <w:pPr>
              <w:jc w:val="center"/>
            </w:pPr>
            <w:r>
              <w:rPr>
                <w:color w:val="000000"/>
                <w:sz w:val="19"/>
                <w:szCs w:val="19"/>
              </w:rPr>
              <w:t>~58% reduction</w:t>
            </w:r>
          </w:p>
        </w:tc>
      </w:tr>
      <w:tr w:rsidR="00DF1C59" w14:paraId="45C65DD4" w14:textId="77777777">
        <w:tc>
          <w:tcPr>
            <w:tcW w:w="336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62D8F53F" w14:textId="77777777" w:rsidR="00DF1C59" w:rsidRDefault="002B0650">
            <w:r>
              <w:rPr>
                <w:color w:val="000000"/>
                <w:sz w:val="19"/>
                <w:szCs w:val="19"/>
              </w:rPr>
              <w:t>First-pass error detection</w:t>
            </w:r>
          </w:p>
        </w:tc>
        <w:tc>
          <w:tcPr>
            <w:tcW w:w="198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38456C18" w14:textId="77777777" w:rsidR="00DF1C59" w:rsidRDefault="002B0650">
            <w:pPr>
              <w:jc w:val="center"/>
            </w:pPr>
            <w:r>
              <w:rPr>
                <w:color w:val="000000"/>
                <w:sz w:val="19"/>
                <w:szCs w:val="19"/>
              </w:rPr>
              <w:t>~59% (4.69/8)</w:t>
            </w:r>
          </w:p>
        </w:tc>
        <w:tc>
          <w:tcPr>
            <w:tcW w:w="216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5A50B85F" w14:textId="77777777" w:rsidR="00DF1C59" w:rsidRDefault="002B0650">
            <w:pPr>
              <w:jc w:val="center"/>
            </w:pPr>
            <w:r>
              <w:rPr>
                <w:color w:val="000000"/>
                <w:sz w:val="19"/>
                <w:szCs w:val="19"/>
              </w:rPr>
              <w:t>Strengthened</w:t>
            </w:r>
          </w:p>
        </w:tc>
        <w:tc>
          <w:tcPr>
            <w:tcW w:w="186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65BE04AD" w14:textId="77777777" w:rsidR="00DF1C59" w:rsidRDefault="002B0650">
            <w:pPr>
              <w:jc w:val="center"/>
            </w:pPr>
            <w:r>
              <w:rPr>
                <w:color w:val="000000"/>
                <w:sz w:val="19"/>
                <w:szCs w:val="19"/>
              </w:rPr>
              <w:t>Catches what humans miss</w:t>
            </w:r>
          </w:p>
        </w:tc>
      </w:tr>
      <w:tr w:rsidR="00DF1C59" w14:paraId="3FF21D10" w14:textId="77777777">
        <w:tc>
          <w:tcPr>
            <w:tcW w:w="336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660A66F4" w14:textId="77777777" w:rsidR="00DF1C59" w:rsidRDefault="002B0650">
            <w:r>
              <w:rPr>
                <w:color w:val="000000"/>
                <w:sz w:val="19"/>
                <w:szCs w:val="19"/>
              </w:rPr>
              <w:t>Personnel trained / reached</w:t>
            </w:r>
          </w:p>
        </w:tc>
        <w:tc>
          <w:tcPr>
            <w:tcW w:w="198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381C8FC8" w14:textId="77777777" w:rsidR="00DF1C59" w:rsidRDefault="002B0650">
            <w:pPr>
              <w:jc w:val="center"/>
            </w:pPr>
            <w:r>
              <w:rPr>
                <w:color w:val="000000"/>
                <w:sz w:val="19"/>
                <w:szCs w:val="19"/>
              </w:rPr>
              <w:t>—</w:t>
            </w:r>
          </w:p>
        </w:tc>
        <w:tc>
          <w:tcPr>
            <w:tcW w:w="216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3AC4D023" w14:textId="77777777" w:rsidR="00DF1C59" w:rsidRDefault="002B0650">
            <w:pPr>
              <w:jc w:val="center"/>
            </w:pPr>
            <w:r>
              <w:rPr>
                <w:color w:val="000000"/>
                <w:sz w:val="19"/>
                <w:szCs w:val="19"/>
              </w:rPr>
              <w:t>400+</w:t>
            </w:r>
          </w:p>
        </w:tc>
        <w:tc>
          <w:tcPr>
            <w:tcW w:w="186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2B719872" w14:textId="77777777" w:rsidR="00DF1C59" w:rsidRDefault="002B0650">
            <w:pPr>
              <w:jc w:val="center"/>
            </w:pPr>
            <w:r>
              <w:rPr>
                <w:color w:val="000000"/>
                <w:sz w:val="19"/>
                <w:szCs w:val="19"/>
              </w:rPr>
              <w:t>Demand-driven adoption</w:t>
            </w:r>
          </w:p>
        </w:tc>
      </w:tr>
    </w:tbl>
    <w:p w14:paraId="4651CBE0" w14:textId="77777777" w:rsidR="00DF1C59" w:rsidRDefault="002B0650">
      <w:pPr>
        <w:spacing w:before="40" w:after="140"/>
      </w:pPr>
      <w:r>
        <w:rPr>
          <w:i/>
          <w:iCs/>
          <w:color w:val="555555"/>
          <w:sz w:val="16"/>
          <w:szCs w:val="16"/>
        </w:rPr>
        <w:t>Modeled projections. The ~97% figure isolates initial-pass processing within the TAF review stage; the ~58% figure spans the full life cycle. The two measure different things and are not additive.</w:t>
      </w:r>
    </w:p>
    <w:p w14:paraId="4B071AC7" w14:textId="77777777" w:rsidR="00DF1C59" w:rsidRDefault="002B0650">
      <w:pPr>
        <w:spacing w:after="120" w:line="268" w:lineRule="auto"/>
      </w:pPr>
      <w:r>
        <w:rPr>
          <w:b/>
          <w:bCs/>
        </w:rPr>
        <w:t xml:space="preserve">Measured live employment (as of 18 June 2026). </w:t>
      </w:r>
      <w:r>
        <w:t>The first eight complete live reviews logged a Total Hands-On Time of 20.4 minutes per full CTO (~4.8 min AI interaction, ~15.6 min human verification). AI output graded 2 Ready, 4 Minor Edits, 2 Not Ready; analysts materially modified the AI product in 38% of reviews — evidence outputs were critically reviewed, not blindly accepted. On equalized full-CTO scope, this projects to roughly an 18% reduction against the adjusted manual baseline at current early-adoption proficiency. As the persona matures, measured performance is expected to move toward the modeled ceiling. The modeled and measured figures are different measurements, not competing claims.</w:t>
      </w:r>
    </w:p>
    <w:p w14:paraId="6A9B2C4B" w14:textId="77777777" w:rsidR="00DF1C59" w:rsidRDefault="002B0650">
      <w:pPr>
        <w:spacing w:before="220" w:after="100"/>
      </w:pPr>
      <w:r>
        <w:rPr>
          <w:b/>
          <w:bCs/>
          <w:color w:val="2E4E7E"/>
          <w:sz w:val="24"/>
          <w:szCs w:val="24"/>
        </w:rPr>
        <w:t>4.  KEY LESSONS LEARNED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DF1C59" w14:paraId="781C9895" w14:textId="77777777">
        <w:tc>
          <w:tcPr>
            <w:tcW w:w="270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5DFF1794" w14:textId="77777777" w:rsidR="00DF1C59" w:rsidRDefault="002B0650">
            <w:r>
              <w:rPr>
                <w:b/>
                <w:bCs/>
                <w:sz w:val="19"/>
                <w:szCs w:val="19"/>
              </w:rPr>
              <w:t>License first</w:t>
            </w:r>
          </w:p>
        </w:tc>
        <w:tc>
          <w:tcPr>
            <w:tcW w:w="666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1E387CE8" w14:textId="77777777" w:rsidR="00DF1C59" w:rsidRDefault="002B0650">
            <w:r>
              <w:rPr>
                <w:color w:val="000000"/>
                <w:sz w:val="19"/>
                <w:szCs w:val="19"/>
              </w:rPr>
              <w:t>Token and licensing approval is the long pole in the tent — secure it before anything else.</w:t>
            </w:r>
          </w:p>
        </w:tc>
      </w:tr>
      <w:tr w:rsidR="00DF1C59" w14:paraId="3B7076D5" w14:textId="77777777">
        <w:tc>
          <w:tcPr>
            <w:tcW w:w="27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7C169731" w14:textId="77777777" w:rsidR="00DF1C59" w:rsidRDefault="002B0650">
            <w:r>
              <w:rPr>
                <w:b/>
                <w:bCs/>
                <w:sz w:val="19"/>
                <w:szCs w:val="19"/>
              </w:rPr>
              <w:t>Senior backing is decisive</w:t>
            </w:r>
          </w:p>
        </w:tc>
        <w:tc>
          <w:tcPr>
            <w:tcW w:w="666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09B337CD" w14:textId="77777777" w:rsidR="00DF1C59" w:rsidRDefault="002B0650">
            <w:r>
              <w:rPr>
                <w:color w:val="000000"/>
                <w:sz w:val="19"/>
                <w:szCs w:val="19"/>
              </w:rPr>
              <w:t>A commander’s formal tasking converted a grassroots experiment into a resourced program. Rank unlocks institutional doors.</w:t>
            </w:r>
          </w:p>
        </w:tc>
      </w:tr>
      <w:tr w:rsidR="00DF1C59" w14:paraId="49488155" w14:textId="77777777">
        <w:tc>
          <w:tcPr>
            <w:tcW w:w="270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648BAE88" w14:textId="77777777" w:rsidR="00DF1C59" w:rsidRDefault="002B0650">
            <w:r>
              <w:rPr>
                <w:b/>
                <w:bCs/>
                <w:sz w:val="19"/>
                <w:szCs w:val="19"/>
              </w:rPr>
              <w:t>Exposure beats argument</w:t>
            </w:r>
          </w:p>
        </w:tc>
        <w:tc>
          <w:tcPr>
            <w:tcW w:w="666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5DB3797C" w14:textId="77777777" w:rsidR="00DF1C59" w:rsidRDefault="002B0650">
            <w:r>
              <w:rPr>
                <w:color w:val="000000"/>
                <w:sz w:val="19"/>
                <w:szCs w:val="19"/>
              </w:rPr>
              <w:t>Live demonstration overcame resistance that briefings could not. Seeing is believing.</w:t>
            </w:r>
          </w:p>
        </w:tc>
      </w:tr>
      <w:tr w:rsidR="00DF1C59" w14:paraId="5AE0A6DF" w14:textId="77777777">
        <w:tc>
          <w:tcPr>
            <w:tcW w:w="27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7D967A4F" w14:textId="77777777" w:rsidR="00DF1C59" w:rsidRDefault="002B0650">
            <w:r>
              <w:rPr>
                <w:b/>
                <w:bCs/>
                <w:sz w:val="19"/>
                <w:szCs w:val="19"/>
              </w:rPr>
              <w:t>Quality, not just speed</w:t>
            </w:r>
          </w:p>
        </w:tc>
        <w:tc>
          <w:tcPr>
            <w:tcW w:w="666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10DF2023" w14:textId="77777777" w:rsidR="00DF1C59" w:rsidRDefault="002B0650">
            <w:r>
              <w:rPr>
                <w:color w:val="000000"/>
                <w:sz w:val="19"/>
                <w:szCs w:val="19"/>
              </w:rPr>
              <w:t>AI detects technical errors that experienced human analysts miss — a quality multiplier, not a shortcut. Publication and general/abbreviation errors are the highest-gap categories and the priority for persona optimization.</w:t>
            </w:r>
          </w:p>
        </w:tc>
      </w:tr>
      <w:tr w:rsidR="00DF1C59" w14:paraId="676FD698" w14:textId="77777777">
        <w:tc>
          <w:tcPr>
            <w:tcW w:w="270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776E8FC7" w14:textId="01179BBA" w:rsidR="00DF1C59" w:rsidRDefault="002B0650">
            <w:r>
              <w:rPr>
                <w:b/>
                <w:bCs/>
                <w:sz w:val="19"/>
                <w:szCs w:val="19"/>
              </w:rPr>
              <w:t xml:space="preserve">Build the </w:t>
            </w:r>
            <w:r w:rsidR="00EC41BB" w:rsidRPr="00EC41BB">
              <w:rPr>
                <w:b/>
                <w:bCs/>
                <w:sz w:val="19"/>
                <w:szCs w:val="19"/>
              </w:rPr>
              <w:t xml:space="preserve">AI Integration Cadre (AIIC) </w:t>
            </w:r>
            <w:r>
              <w:rPr>
                <w:b/>
                <w:bCs/>
                <w:sz w:val="19"/>
                <w:szCs w:val="19"/>
              </w:rPr>
              <w:t>earlier</w:t>
            </w:r>
          </w:p>
        </w:tc>
        <w:tc>
          <w:tcPr>
            <w:tcW w:w="666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678EAC2B" w14:textId="77777777" w:rsidR="00DF1C59" w:rsidRDefault="002B0650">
            <w:r>
              <w:rPr>
                <w:color w:val="000000"/>
                <w:sz w:val="19"/>
                <w:szCs w:val="19"/>
              </w:rPr>
              <w:t>A two-person cell carried the entire effort. A deliberate, resourced champion cell would scale faster and reduce single-point fragility.</w:t>
            </w:r>
          </w:p>
        </w:tc>
      </w:tr>
    </w:tbl>
    <w:p w14:paraId="4888716A" w14:textId="77777777" w:rsidR="00DF1C59" w:rsidRDefault="002B0650">
      <w:pPr>
        <w:spacing w:before="220" w:after="100"/>
      </w:pPr>
      <w:r>
        <w:rPr>
          <w:b/>
          <w:bCs/>
          <w:color w:val="2E4E7E"/>
          <w:sz w:val="24"/>
          <w:szCs w:val="24"/>
        </w:rPr>
        <w:t>5.  RESOURCING AND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5060"/>
        <w:gridCol w:w="2000"/>
      </w:tblGrid>
      <w:tr w:rsidR="00DF1C59" w14:paraId="5F371059" w14:textId="77777777">
        <w:trPr>
          <w:tblHeader/>
        </w:trPr>
        <w:tc>
          <w:tcPr>
            <w:tcW w:w="2300" w:type="dxa"/>
            <w:tcBorders>
              <w:top w:val="single" w:sz="4" w:space="0" w:color="9BA7B8"/>
              <w:left w:val="single" w:sz="4" w:space="0" w:color="9BA7B8"/>
              <w:bottom w:val="single" w:sz="4" w:space="0" w:color="9BA7B8"/>
              <w:right w:val="single" w:sz="4" w:space="0" w:color="9BA7B8"/>
            </w:tcBorders>
            <w:shd w:val="clear" w:color="auto" w:fill="2E4E7E"/>
            <w:tcMar>
              <w:top w:w="60" w:type="dxa"/>
              <w:left w:w="110" w:type="dxa"/>
              <w:bottom w:w="60" w:type="dxa"/>
              <w:right w:w="110" w:type="dxa"/>
            </w:tcMar>
            <w:vAlign w:val="center"/>
          </w:tcPr>
          <w:p w14:paraId="3573D470" w14:textId="77777777" w:rsidR="00DF1C59" w:rsidRDefault="002B0650">
            <w:r>
              <w:rPr>
                <w:b/>
                <w:bCs/>
                <w:color w:val="FFFFFF"/>
                <w:sz w:val="19"/>
                <w:szCs w:val="19"/>
              </w:rPr>
              <w:t>Factor</w:t>
            </w:r>
          </w:p>
        </w:tc>
        <w:tc>
          <w:tcPr>
            <w:tcW w:w="5060" w:type="dxa"/>
            <w:tcBorders>
              <w:top w:val="single" w:sz="4" w:space="0" w:color="9BA7B8"/>
              <w:left w:val="single" w:sz="4" w:space="0" w:color="9BA7B8"/>
              <w:bottom w:val="single" w:sz="4" w:space="0" w:color="9BA7B8"/>
              <w:right w:val="single" w:sz="4" w:space="0" w:color="9BA7B8"/>
            </w:tcBorders>
            <w:shd w:val="clear" w:color="auto" w:fill="2E4E7E"/>
            <w:tcMar>
              <w:top w:w="60" w:type="dxa"/>
              <w:left w:w="110" w:type="dxa"/>
              <w:bottom w:w="60" w:type="dxa"/>
              <w:right w:w="110" w:type="dxa"/>
            </w:tcMar>
            <w:vAlign w:val="center"/>
          </w:tcPr>
          <w:p w14:paraId="37A999DD" w14:textId="77777777" w:rsidR="00DF1C59" w:rsidRDefault="002B0650">
            <w:r>
              <w:rPr>
                <w:b/>
                <w:bCs/>
                <w:color w:val="FFFFFF"/>
                <w:sz w:val="19"/>
                <w:szCs w:val="19"/>
              </w:rPr>
              <w:t>Description</w:t>
            </w:r>
          </w:p>
        </w:tc>
        <w:tc>
          <w:tcPr>
            <w:tcW w:w="2000" w:type="dxa"/>
            <w:tcBorders>
              <w:top w:val="single" w:sz="4" w:space="0" w:color="9BA7B8"/>
              <w:left w:val="single" w:sz="4" w:space="0" w:color="9BA7B8"/>
              <w:bottom w:val="single" w:sz="4" w:space="0" w:color="9BA7B8"/>
              <w:right w:val="single" w:sz="4" w:space="0" w:color="9BA7B8"/>
            </w:tcBorders>
            <w:shd w:val="clear" w:color="auto" w:fill="2E4E7E"/>
            <w:tcMar>
              <w:top w:w="60" w:type="dxa"/>
              <w:left w:w="110" w:type="dxa"/>
              <w:bottom w:w="60" w:type="dxa"/>
              <w:right w:w="110" w:type="dxa"/>
            </w:tcMar>
            <w:vAlign w:val="center"/>
          </w:tcPr>
          <w:p w14:paraId="00809093" w14:textId="77777777" w:rsidR="00DF1C59" w:rsidRDefault="002B0650">
            <w:pPr>
              <w:jc w:val="center"/>
            </w:pPr>
            <w:r>
              <w:rPr>
                <w:b/>
                <w:bCs/>
                <w:color w:val="FFFFFF"/>
                <w:sz w:val="19"/>
                <w:szCs w:val="19"/>
              </w:rPr>
              <w:t>Assessment</w:t>
            </w:r>
          </w:p>
        </w:tc>
      </w:tr>
      <w:tr w:rsidR="00DF1C59" w14:paraId="32376A99" w14:textId="77777777">
        <w:tc>
          <w:tcPr>
            <w:tcW w:w="23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5E7B01F8" w14:textId="77777777" w:rsidR="00DF1C59" w:rsidRDefault="002B0650">
            <w:r>
              <w:rPr>
                <w:color w:val="000000"/>
                <w:sz w:val="19"/>
                <w:szCs w:val="19"/>
              </w:rPr>
              <w:t>Primary cost driver</w:t>
            </w:r>
          </w:p>
        </w:tc>
        <w:tc>
          <w:tcPr>
            <w:tcW w:w="506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30077205" w14:textId="77777777" w:rsidR="00DF1C59" w:rsidRDefault="002B0650">
            <w:r>
              <w:rPr>
                <w:color w:val="000000"/>
                <w:sz w:val="19"/>
                <w:szCs w:val="19"/>
              </w:rPr>
              <w:t>Enterprise license and token replenishment (recurring).</w:t>
            </w:r>
          </w:p>
        </w:tc>
        <w:tc>
          <w:tcPr>
            <w:tcW w:w="20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28ADE503" w14:textId="77777777" w:rsidR="00DF1C59" w:rsidRDefault="002B0650">
            <w:pPr>
              <w:jc w:val="center"/>
            </w:pPr>
            <w:r>
              <w:rPr>
                <w:color w:val="000000"/>
                <w:sz w:val="19"/>
                <w:szCs w:val="19"/>
              </w:rPr>
              <w:t>LOW — controlled, predictable</w:t>
            </w:r>
          </w:p>
        </w:tc>
      </w:tr>
      <w:tr w:rsidR="00DF1C59" w14:paraId="49F3D2CD" w14:textId="77777777">
        <w:tc>
          <w:tcPr>
            <w:tcW w:w="230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13014680" w14:textId="77777777" w:rsidR="00DF1C59" w:rsidRDefault="002B0650">
            <w:r>
              <w:rPr>
                <w:color w:val="000000"/>
                <w:sz w:val="19"/>
                <w:szCs w:val="19"/>
              </w:rPr>
              <w:t>Risk if not resourced</w:t>
            </w:r>
          </w:p>
        </w:tc>
        <w:tc>
          <w:tcPr>
            <w:tcW w:w="506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32FA6AF3" w14:textId="77777777" w:rsidR="00DF1C59" w:rsidRDefault="002B0650">
            <w:r>
              <w:rPr>
                <w:color w:val="000000"/>
                <w:sz w:val="19"/>
                <w:szCs w:val="19"/>
              </w:rPr>
              <w:t>Analyst overload at scale; degraded RTU product quality; unmanaged use of unaccredited tools.</w:t>
            </w:r>
          </w:p>
        </w:tc>
        <w:tc>
          <w:tcPr>
            <w:tcW w:w="200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4BE5CCEF" w14:textId="77777777" w:rsidR="00DF1C59" w:rsidRDefault="002B0650">
            <w:pPr>
              <w:jc w:val="center"/>
            </w:pPr>
            <w:r>
              <w:rPr>
                <w:color w:val="000000"/>
                <w:sz w:val="19"/>
                <w:szCs w:val="19"/>
              </w:rPr>
              <w:t>HIGH — bottleneck returns</w:t>
            </w:r>
          </w:p>
        </w:tc>
      </w:tr>
      <w:tr w:rsidR="00DF1C59" w14:paraId="61502F43" w14:textId="77777777">
        <w:tc>
          <w:tcPr>
            <w:tcW w:w="23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29EAE47B" w14:textId="77777777" w:rsidR="00DF1C59" w:rsidRDefault="002B0650">
            <w:r>
              <w:rPr>
                <w:color w:val="000000"/>
                <w:sz w:val="19"/>
                <w:szCs w:val="19"/>
              </w:rPr>
              <w:t>Controls in place</w:t>
            </w:r>
          </w:p>
        </w:tc>
        <w:tc>
          <w:tcPr>
            <w:tcW w:w="506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334C0CA4" w14:textId="77777777" w:rsidR="00DF1C59" w:rsidRDefault="002B0650">
            <w:r>
              <w:rPr>
                <w:color w:val="000000"/>
                <w:sz w:val="19"/>
                <w:szCs w:val="19"/>
              </w:rPr>
              <w:t>Human-in-the-loop authority; accredited platforms only; UNCLASSIFIED / NIPR; classification scrub on every product.</w:t>
            </w:r>
          </w:p>
        </w:tc>
        <w:tc>
          <w:tcPr>
            <w:tcW w:w="20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078DADC6" w14:textId="77777777" w:rsidR="00DF1C59" w:rsidRDefault="002B0650">
            <w:pPr>
              <w:jc w:val="center"/>
            </w:pPr>
            <w:r>
              <w:rPr>
                <w:color w:val="000000"/>
                <w:sz w:val="19"/>
                <w:szCs w:val="19"/>
              </w:rPr>
              <w:t>MITIGATED — by design</w:t>
            </w:r>
          </w:p>
        </w:tc>
      </w:tr>
    </w:tbl>
    <w:p w14:paraId="602D9219" w14:textId="77777777" w:rsidR="005A1BFF" w:rsidRDefault="005A1BFF">
      <w:pPr>
        <w:spacing w:before="220" w:after="100"/>
        <w:rPr>
          <w:b/>
          <w:bCs/>
          <w:color w:val="2E4E7E"/>
          <w:sz w:val="24"/>
          <w:szCs w:val="24"/>
        </w:rPr>
      </w:pPr>
    </w:p>
    <w:p w14:paraId="5C320F3B" w14:textId="3AF4E623" w:rsidR="00DF1C59" w:rsidRDefault="002B0650">
      <w:pPr>
        <w:spacing w:before="220" w:after="100"/>
      </w:pPr>
      <w:r>
        <w:rPr>
          <w:b/>
          <w:bCs/>
          <w:color w:val="2E4E7E"/>
          <w:sz w:val="24"/>
          <w:szCs w:val="24"/>
        </w:rPr>
        <w:lastRenderedPageBreak/>
        <w:t>6.  DECISIONS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600"/>
        <w:gridCol w:w="6200"/>
      </w:tblGrid>
      <w:tr w:rsidR="00DF1C59" w14:paraId="1C00AAB4" w14:textId="77777777">
        <w:tc>
          <w:tcPr>
            <w:tcW w:w="56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077F27DF" w14:textId="77777777" w:rsidR="00DF1C59" w:rsidRDefault="002B0650">
            <w:pPr>
              <w:jc w:val="center"/>
            </w:pPr>
            <w:r>
              <w:rPr>
                <w:b/>
                <w:bCs/>
                <w:sz w:val="19"/>
                <w:szCs w:val="19"/>
              </w:rPr>
              <w:t>1</w:t>
            </w:r>
          </w:p>
        </w:tc>
        <w:tc>
          <w:tcPr>
            <w:tcW w:w="260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34295CE5" w14:textId="77777777" w:rsidR="00DF1C59" w:rsidRDefault="002B0650">
            <w:r>
              <w:rPr>
                <w:b/>
                <w:bCs/>
                <w:sz w:val="19"/>
                <w:szCs w:val="19"/>
              </w:rPr>
              <w:t>Institutionalize</w:t>
            </w:r>
          </w:p>
        </w:tc>
        <w:tc>
          <w:tcPr>
            <w:tcW w:w="620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31DD9096" w14:textId="77777777" w:rsidR="00DF1C59" w:rsidRDefault="002B0650">
            <w:r>
              <w:rPr>
                <w:color w:val="000000"/>
                <w:sz w:val="19"/>
                <w:szCs w:val="19"/>
              </w:rPr>
              <w:t>Adopt the Divisional Package (personas, prompts, training, SOPs, data libraries) as a standing 78th Training Division product.</w:t>
            </w:r>
          </w:p>
        </w:tc>
      </w:tr>
      <w:tr w:rsidR="00DF1C59" w14:paraId="1F802D76" w14:textId="77777777">
        <w:tc>
          <w:tcPr>
            <w:tcW w:w="56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60A1778E" w14:textId="77777777" w:rsidR="00DF1C59" w:rsidRDefault="002B0650">
            <w:pPr>
              <w:jc w:val="center"/>
            </w:pPr>
            <w:r>
              <w:rPr>
                <w:b/>
                <w:bCs/>
                <w:sz w:val="19"/>
                <w:szCs w:val="19"/>
              </w:rPr>
              <w:t>2</w:t>
            </w:r>
          </w:p>
        </w:tc>
        <w:tc>
          <w:tcPr>
            <w:tcW w:w="26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2D747D52" w14:textId="77777777" w:rsidR="00DF1C59" w:rsidRDefault="002B0650">
            <w:r>
              <w:rPr>
                <w:b/>
                <w:bCs/>
                <w:sz w:val="19"/>
                <w:szCs w:val="19"/>
              </w:rPr>
              <w:t>Resource licensing</w:t>
            </w:r>
          </w:p>
        </w:tc>
        <w:tc>
          <w:tcPr>
            <w:tcW w:w="62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68F87A7E" w14:textId="77777777" w:rsidR="00DF1C59" w:rsidRDefault="002B0650">
            <w:r>
              <w:rPr>
                <w:color w:val="000000"/>
                <w:sz w:val="19"/>
                <w:szCs w:val="19"/>
              </w:rPr>
              <w:t>Fund enterprise licensing and token allocation — the recurring cost driver and precondition for all scale.</w:t>
            </w:r>
          </w:p>
        </w:tc>
      </w:tr>
      <w:tr w:rsidR="00DF1C59" w14:paraId="187F22B3" w14:textId="77777777">
        <w:tc>
          <w:tcPr>
            <w:tcW w:w="56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135CBABF" w14:textId="77777777" w:rsidR="00DF1C59" w:rsidRDefault="002B0650">
            <w:pPr>
              <w:jc w:val="center"/>
            </w:pPr>
            <w:r>
              <w:rPr>
                <w:b/>
                <w:bCs/>
                <w:sz w:val="19"/>
                <w:szCs w:val="19"/>
              </w:rPr>
              <w:t>3</w:t>
            </w:r>
          </w:p>
        </w:tc>
        <w:tc>
          <w:tcPr>
            <w:tcW w:w="260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6774F1AC" w14:textId="77777777" w:rsidR="00DF1C59" w:rsidRDefault="002B0650">
            <w:r>
              <w:rPr>
                <w:b/>
                <w:bCs/>
                <w:sz w:val="19"/>
                <w:szCs w:val="19"/>
              </w:rPr>
              <w:t>Authorize expansion</w:t>
            </w:r>
          </w:p>
        </w:tc>
        <w:tc>
          <w:tcPr>
            <w:tcW w:w="620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0C684DD9" w14:textId="77777777" w:rsidR="00DF1C59" w:rsidRDefault="002B0650">
            <w:r>
              <w:rPr>
                <w:color w:val="000000"/>
                <w:sz w:val="19"/>
                <w:szCs w:val="19"/>
              </w:rPr>
              <w:t>Direct expansion across the 84th TC and USARC over 12–24 months.</w:t>
            </w:r>
          </w:p>
        </w:tc>
      </w:tr>
      <w:tr w:rsidR="00DF1C59" w14:paraId="79DE4C3D" w14:textId="77777777">
        <w:tc>
          <w:tcPr>
            <w:tcW w:w="56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6062EE97" w14:textId="77777777" w:rsidR="00DF1C59" w:rsidRDefault="002B0650">
            <w:pPr>
              <w:jc w:val="center"/>
            </w:pPr>
            <w:r>
              <w:rPr>
                <w:b/>
                <w:bCs/>
                <w:sz w:val="19"/>
                <w:szCs w:val="19"/>
              </w:rPr>
              <w:t>4</w:t>
            </w:r>
          </w:p>
        </w:tc>
        <w:tc>
          <w:tcPr>
            <w:tcW w:w="26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4E67EE39" w14:textId="77777777" w:rsidR="00DF1C59" w:rsidRDefault="002B0650">
            <w:r>
              <w:rPr>
                <w:b/>
                <w:bCs/>
                <w:sz w:val="19"/>
                <w:szCs w:val="19"/>
              </w:rPr>
              <w:t>Approve Phase 2</w:t>
            </w:r>
          </w:p>
        </w:tc>
        <w:tc>
          <w:tcPr>
            <w:tcW w:w="62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042AD29C" w14:textId="04D8B340" w:rsidR="00DF1C59" w:rsidRDefault="002B0650">
            <w:r>
              <w:rPr>
                <w:color w:val="000000"/>
                <w:sz w:val="19"/>
                <w:szCs w:val="19"/>
              </w:rPr>
              <w:t xml:space="preserve">Authorize SIPR build-out planning, a deliberate </w:t>
            </w:r>
            <w:r w:rsidR="00EC41BB">
              <w:rPr>
                <w:color w:val="000000"/>
                <w:sz w:val="19"/>
                <w:szCs w:val="19"/>
              </w:rPr>
              <w:t xml:space="preserve">AIIC </w:t>
            </w:r>
            <w:r>
              <w:rPr>
                <w:color w:val="000000"/>
                <w:sz w:val="19"/>
                <w:szCs w:val="19"/>
              </w:rPr>
              <w:t>cell, and evaluation of additional accredited tools.</w:t>
            </w:r>
          </w:p>
        </w:tc>
      </w:tr>
    </w:tbl>
    <w:p w14:paraId="601FA862" w14:textId="77777777" w:rsidR="00DF1C59" w:rsidRDefault="002B0650">
      <w:pPr>
        <w:spacing w:before="220" w:after="100"/>
      </w:pPr>
      <w:r>
        <w:rPr>
          <w:b/>
          <w:bCs/>
          <w:color w:val="2E4E7E"/>
          <w:sz w:val="24"/>
          <w:szCs w:val="24"/>
        </w:rPr>
        <w:t>7.  RECOMMENDATION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1C59" w14:paraId="3E28C1C1" w14:textId="77777777">
        <w:tc>
          <w:tcPr>
            <w:tcW w:w="9360" w:type="dxa"/>
            <w:tcBorders>
              <w:top w:val="single" w:sz="4" w:space="0" w:color="9BA7B8"/>
              <w:left w:val="single" w:sz="4" w:space="0" w:color="9BA7B8"/>
              <w:bottom w:val="single" w:sz="4" w:space="0" w:color="9BA7B8"/>
              <w:right w:val="single" w:sz="4" w:space="0" w:color="9BA7B8"/>
            </w:tcBorders>
            <w:shd w:val="clear" w:color="auto" w:fill="F3F1E7"/>
            <w:tcMar>
              <w:top w:w="120" w:type="dxa"/>
              <w:left w:w="160" w:type="dxa"/>
              <w:bottom w:w="120" w:type="dxa"/>
              <w:right w:w="160" w:type="dxa"/>
            </w:tcMar>
          </w:tcPr>
          <w:p w14:paraId="398BAAEB" w14:textId="77777777" w:rsidR="00DF1C59" w:rsidRDefault="002B0650">
            <w:pPr>
              <w:spacing w:line="264" w:lineRule="auto"/>
            </w:pPr>
            <w:r>
              <w:rPr>
                <w:b/>
                <w:bCs/>
              </w:rPr>
              <w:t xml:space="preserve">APPROVE all four decisions </w:t>
            </w:r>
            <w:r>
              <w:t xml:space="preserve">and direct the 78th TD AI-Integrations Cell — supported by the 84th TC AI Integration Working Group — to execute. </w:t>
            </w:r>
            <w:r>
              <w:rPr>
                <w:i/>
                <w:iCs/>
              </w:rPr>
              <w:t>The capability is proven, trained, and ready. The limiting factor is resourcing and authority to scale.</w:t>
            </w:r>
          </w:p>
        </w:tc>
      </w:tr>
    </w:tbl>
    <w:p w14:paraId="3C9DCE6C" w14:textId="77777777" w:rsidR="00DF1C59" w:rsidRDefault="002B0650">
      <w:pPr>
        <w:spacing w:before="160"/>
      </w:pPr>
      <w:r>
        <w:rPr>
          <w:b/>
          <w:bCs/>
          <w:sz w:val="18"/>
          <w:szCs w:val="18"/>
        </w:rPr>
        <w:t xml:space="preserve">References:  </w:t>
      </w:r>
      <w:r>
        <w:rPr>
          <w:sz w:val="18"/>
          <w:szCs w:val="18"/>
        </w:rPr>
        <w:t>Generative Artificial Intelligence Integration — Lessons and Best Practices Handbook (78th TD, 2026); TAF Quality Control Performance Report — Manual vs. Ask Sage, OSJ 2026 (source for live Total Hands-On Time data).</w:t>
      </w:r>
    </w:p>
    <w:sectPr w:rsidR="00DF1C59">
      <w:headerReference w:type="default" r:id="rId7"/>
      <w:footerReference w:type="default" r:id="rId8"/>
      <w:pgSz w:w="12240" w:h="15840"/>
      <w:pgMar w:top="1000" w:right="1260" w:bottom="10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86002" w14:textId="77777777" w:rsidR="001E4872" w:rsidRDefault="001E4872">
      <w:r>
        <w:separator/>
      </w:r>
    </w:p>
  </w:endnote>
  <w:endnote w:type="continuationSeparator" w:id="0">
    <w:p w14:paraId="0993EB2A" w14:textId="77777777" w:rsidR="001E4872" w:rsidRDefault="001E48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0F48F" w14:textId="77777777" w:rsidR="00DF1C59" w:rsidRDefault="002B0650">
    <w:pPr>
      <w:jc w:val="center"/>
    </w:pPr>
    <w:r>
      <w:rPr>
        <w:b/>
        <w:bCs/>
        <w:sz w:val="18"/>
        <w:szCs w:val="18"/>
      </w:rPr>
      <w:t>UNCLASSIFIED</w:t>
    </w:r>
  </w:p>
  <w:p w14:paraId="1B8301F8" w14:textId="77777777" w:rsidR="00DF1C59" w:rsidRDefault="002B0650">
    <w:pPr>
      <w:jc w:val="center"/>
    </w:pPr>
    <w:r>
      <w:rPr>
        <w:color w:val="777777"/>
        <w:sz w:val="15"/>
        <w:szCs w:val="15"/>
      </w:rPr>
      <w:t xml:space="preserve">GenAI Integration — Executive Summary  |  OSJ 2026  |  Page </w:t>
    </w:r>
    <w:r>
      <w:rPr>
        <w:color w:val="777777"/>
        <w:sz w:val="15"/>
        <w:szCs w:val="15"/>
      </w:rPr>
      <w:fldChar w:fldCharType="begin"/>
    </w:r>
    <w:r>
      <w:rPr>
        <w:color w:val="777777"/>
        <w:sz w:val="15"/>
        <w:szCs w:val="15"/>
      </w:rPr>
      <w:instrText>PAGE</w:instrText>
    </w:r>
    <w:r>
      <w:rPr>
        <w:color w:val="777777"/>
        <w:sz w:val="15"/>
        <w:szCs w:val="15"/>
      </w:rPr>
      <w:fldChar w:fldCharType="separate"/>
    </w:r>
    <w:r w:rsidR="005A1BFF">
      <w:rPr>
        <w:noProof/>
        <w:color w:val="777777"/>
        <w:sz w:val="15"/>
        <w:szCs w:val="15"/>
      </w:rPr>
      <w:t>1</w:t>
    </w:r>
    <w:r>
      <w:rPr>
        <w:color w:val="777777"/>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83A02" w14:textId="77777777" w:rsidR="001E4872" w:rsidRDefault="001E4872">
      <w:r>
        <w:separator/>
      </w:r>
    </w:p>
  </w:footnote>
  <w:footnote w:type="continuationSeparator" w:id="0">
    <w:p w14:paraId="36FFFE29" w14:textId="77777777" w:rsidR="001E4872" w:rsidRDefault="001E48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A8D04" w14:textId="77777777" w:rsidR="00DF1C59" w:rsidRDefault="002B0650">
    <w:pPr>
      <w:jc w:val="center"/>
    </w:pPr>
    <w:r>
      <w:rPr>
        <w:b/>
        <w:bCs/>
        <w:sz w:val="18"/>
        <w:szCs w:val="18"/>
      </w:rPr>
      <w:t>UNCLASSIFIED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045C8"/>
    <w:multiLevelType w:val="hybridMultilevel"/>
    <w:tmpl w:val="A23EBB5A"/>
    <w:lvl w:ilvl="0" w:tplc="F508BBE4">
      <w:start w:val="1"/>
      <w:numFmt w:val="bullet"/>
      <w:lvlText w:val="●"/>
      <w:lvlJc w:val="left"/>
      <w:pPr>
        <w:ind w:left="720" w:hanging="360"/>
      </w:pPr>
    </w:lvl>
    <w:lvl w:ilvl="1" w:tplc="9DEC02A4">
      <w:start w:val="1"/>
      <w:numFmt w:val="bullet"/>
      <w:lvlText w:val="○"/>
      <w:lvlJc w:val="left"/>
      <w:pPr>
        <w:ind w:left="1440" w:hanging="360"/>
      </w:pPr>
    </w:lvl>
    <w:lvl w:ilvl="2" w:tplc="93E65BD8">
      <w:start w:val="1"/>
      <w:numFmt w:val="bullet"/>
      <w:lvlText w:val="■"/>
      <w:lvlJc w:val="left"/>
      <w:pPr>
        <w:ind w:left="2160" w:hanging="360"/>
      </w:pPr>
    </w:lvl>
    <w:lvl w:ilvl="3" w:tplc="F794883A">
      <w:start w:val="1"/>
      <w:numFmt w:val="bullet"/>
      <w:lvlText w:val="●"/>
      <w:lvlJc w:val="left"/>
      <w:pPr>
        <w:ind w:left="2880" w:hanging="360"/>
      </w:pPr>
    </w:lvl>
    <w:lvl w:ilvl="4" w:tplc="C17AFCC2">
      <w:start w:val="1"/>
      <w:numFmt w:val="bullet"/>
      <w:lvlText w:val="○"/>
      <w:lvlJc w:val="left"/>
      <w:pPr>
        <w:ind w:left="3600" w:hanging="360"/>
      </w:pPr>
    </w:lvl>
    <w:lvl w:ilvl="5" w:tplc="653C493E">
      <w:start w:val="1"/>
      <w:numFmt w:val="bullet"/>
      <w:lvlText w:val="■"/>
      <w:lvlJc w:val="left"/>
      <w:pPr>
        <w:ind w:left="4320" w:hanging="360"/>
      </w:pPr>
    </w:lvl>
    <w:lvl w:ilvl="6" w:tplc="583684B6">
      <w:start w:val="1"/>
      <w:numFmt w:val="bullet"/>
      <w:lvlText w:val="●"/>
      <w:lvlJc w:val="left"/>
      <w:pPr>
        <w:ind w:left="5040" w:hanging="360"/>
      </w:pPr>
    </w:lvl>
    <w:lvl w:ilvl="7" w:tplc="C2A021D0">
      <w:start w:val="1"/>
      <w:numFmt w:val="bullet"/>
      <w:lvlText w:val="●"/>
      <w:lvlJc w:val="left"/>
      <w:pPr>
        <w:ind w:left="5760" w:hanging="360"/>
      </w:pPr>
    </w:lvl>
    <w:lvl w:ilvl="8" w:tplc="71C61ECC">
      <w:start w:val="1"/>
      <w:numFmt w:val="bullet"/>
      <w:lvlText w:val="●"/>
      <w:lvlJc w:val="left"/>
      <w:pPr>
        <w:ind w:left="6480" w:hanging="360"/>
      </w:pPr>
    </w:lvl>
  </w:abstractNum>
  <w:abstractNum w:abstractNumId="1" w15:restartNumberingAfterBreak="0">
    <w:nsid w:val="64486EF1"/>
    <w:multiLevelType w:val="hybridMultilevel"/>
    <w:tmpl w:val="ABBCC8B6"/>
    <w:lvl w:ilvl="0" w:tplc="88408052">
      <w:start w:val="1"/>
      <w:numFmt w:val="bullet"/>
      <w:lvlText w:val="•"/>
      <w:lvlJc w:val="left"/>
      <w:pPr>
        <w:ind w:left="540" w:hanging="270"/>
      </w:pPr>
    </w:lvl>
    <w:lvl w:ilvl="1" w:tplc="6BDAFC5E">
      <w:numFmt w:val="decimal"/>
      <w:lvlText w:val=""/>
      <w:lvlJc w:val="left"/>
    </w:lvl>
    <w:lvl w:ilvl="2" w:tplc="538C8AAE">
      <w:numFmt w:val="decimal"/>
      <w:lvlText w:val=""/>
      <w:lvlJc w:val="left"/>
    </w:lvl>
    <w:lvl w:ilvl="3" w:tplc="D9BA5B3E">
      <w:numFmt w:val="decimal"/>
      <w:lvlText w:val=""/>
      <w:lvlJc w:val="left"/>
    </w:lvl>
    <w:lvl w:ilvl="4" w:tplc="C65EC1A8">
      <w:numFmt w:val="decimal"/>
      <w:lvlText w:val=""/>
      <w:lvlJc w:val="left"/>
    </w:lvl>
    <w:lvl w:ilvl="5" w:tplc="E15E9724">
      <w:numFmt w:val="decimal"/>
      <w:lvlText w:val=""/>
      <w:lvlJc w:val="left"/>
    </w:lvl>
    <w:lvl w:ilvl="6" w:tplc="D0F263BE">
      <w:numFmt w:val="decimal"/>
      <w:lvlText w:val=""/>
      <w:lvlJc w:val="left"/>
    </w:lvl>
    <w:lvl w:ilvl="7" w:tplc="F15CFEC2">
      <w:numFmt w:val="decimal"/>
      <w:lvlText w:val=""/>
      <w:lvlJc w:val="left"/>
    </w:lvl>
    <w:lvl w:ilvl="8" w:tplc="FE6E8F0C">
      <w:numFmt w:val="decimal"/>
      <w:lvlText w:val=""/>
      <w:lvlJc w:val="left"/>
    </w:lvl>
  </w:abstractNum>
  <w:num w:numId="1" w16cid:durableId="11898311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C59"/>
    <w:rsid w:val="001E4872"/>
    <w:rsid w:val="002B0650"/>
    <w:rsid w:val="005A1BFF"/>
    <w:rsid w:val="009274E9"/>
    <w:rsid w:val="00C578E7"/>
    <w:rsid w:val="00DF1C59"/>
    <w:rsid w:val="00EC4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A6A1D"/>
  <w15:docId w15:val="{D462A59F-69FB-4518-8979-03E2133D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995</Words>
  <Characters>5933</Characters>
  <Application>Microsoft Office Word</Application>
  <DocSecurity>0</DocSecurity>
  <Lines>147</Lines>
  <Paragraphs>82</Paragraphs>
  <ScaleCrop>false</ScaleCrop>
  <Company/>
  <LinksUpToDate>false</LinksUpToDate>
  <CharactersWithSpaces>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GenAI Integration Executive Summary — OSJ 2026</dc:title>
  <dc:creator>78th TD AI-Integrations Cell</dc:creator>
  <cp:lastModifiedBy>james waversak</cp:lastModifiedBy>
  <cp:revision>3</cp:revision>
  <dcterms:created xsi:type="dcterms:W3CDTF">2026-06-17T16:26:00Z</dcterms:created>
  <dcterms:modified xsi:type="dcterms:W3CDTF">2026-06-17T18:14:00Z</dcterms:modified>
</cp:coreProperties>
</file>