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8"/>
        <w:gridCol w:w="1642"/>
        <w:gridCol w:w="3793"/>
        <w:gridCol w:w="611"/>
        <w:gridCol w:w="2694"/>
      </w:tblGrid>
      <w:tr>
        <w:trPr>
          <w:trHeight w:val="841" w:hRule="atLeast"/>
        </w:trPr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SP-FP-328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08.11.2017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11.06.2025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2893" w:hRule="atLeast"/>
        </w:trPr>
        <w:tc>
          <w:tcPr>
            <w:tcW w:w="1105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TIRAMISU FLAVORED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494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399"/>
              <w:gridCol w:w="1701"/>
              <w:gridCol w:w="1417"/>
              <w:gridCol w:w="1418"/>
              <w:gridCol w:w="1559"/>
            </w:tblGrid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MAXIMUM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24,4%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 (milk)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Whey Powder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Citric Acid, Tripotassium citrate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E 332ii, E 330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 150 a 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(tiramisu)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0,1 %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3790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48"/>
              <w:gridCol w:w="1842"/>
            </w:tblGrid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1040 kj/248 kcal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65,4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35,5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16,2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1,8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0,12 g /0,3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tiramisu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5.5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            -    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3995" w:type="dxa"/>
              <w:jc w:val="start"/>
              <w:tblInd w:w="49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1"/>
              <w:gridCol w:w="1284"/>
            </w:tblGrid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Max.2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94"/>
              <w:gridCol w:w="2705"/>
              <w:gridCol w:w="2298"/>
            </w:tblGrid>
            <w:tr>
              <w:trPr>
                <w:trHeight w:val="284" w:hRule="atLeas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63" w:hRule="atLeas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  <w:tr>
              <w:trPr>
                <w:trHeight w:val="163" w:hRule="atLeas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 and milk products.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* European Regulation 396/2005/EC and subsequent modifications.</w:t>
            </w:r>
          </w:p>
        </w:tc>
      </w:tr>
      <w:tr>
        <w:trPr/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0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</w:abstractNum>
  <w:abstractNum w:abstractNumId="3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2025-06-11T07:37:00Z</dcterms:created>
  <dc:creator>sevda</dc:creator>
  <dc:description/>
  <cp:keywords/>
  <dc:language>de-DE</dc:language>
  <cp:lastModifiedBy>Habibe Tancı</cp:lastModifiedBy>
  <cp:lastPrinted>2012-03-13T14:13:00Z</cp:lastPrinted>
  <dcterms:modified xsi:type="dcterms:W3CDTF">2025-08-19T12:53:00Z</dcterms:modified>
  <cp:revision>4</cp:revision>
  <dc:subject/>
  <dc:title> </dc:title>
</cp:coreProperties>
</file>