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start"/>
        <w:tblInd w:w="-9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94"/>
        <w:gridCol w:w="726"/>
        <w:gridCol w:w="3600"/>
        <w:gridCol w:w="1485"/>
        <w:gridCol w:w="2835"/>
      </w:tblGrid>
      <w:tr>
        <w:trPr>
          <w:trHeight w:val="980" w:hRule="atLeast"/>
        </w:trPr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 xml:space="preserve">PASTE FOR PASTRY AND ICE CREAM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  : SP-FP-354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  <w:vertAlign w:val="superscript"/>
                <w:lang w:val="en-US"/>
              </w:rPr>
              <w:t>st</w:t>
            </w:r>
            <w:r>
              <w:rPr>
                <w:sz w:val="18"/>
                <w:szCs w:val="18"/>
                <w:lang w:val="en-US"/>
              </w:rPr>
              <w:t xml:space="preserve">  issue: 01/05/2005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No.: 01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Date: 01.03.2022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Page No.: 1/1</w:t>
            </w:r>
          </w:p>
        </w:tc>
      </w:tr>
      <w:tr>
        <w:trPr>
          <w:trHeight w:val="12899" w:hRule="atLeast"/>
        </w:trPr>
        <w:tc>
          <w:tcPr>
            <w:tcW w:w="113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 Name                   : ALMOND PASTE  FOR PASTRY AND ICE CREAM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1250 g / Polyethylene 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in general purpose human nutrition, in ice creams, edible ices, pastry dough, creams, jellies, cookie dough, all </w:t>
            </w:r>
          </w:p>
          <w:p>
            <w:pPr>
              <w:pStyle w:val="Normal"/>
              <w:tabs>
                <w:tab w:val="clear" w:pos="708"/>
                <w:tab w:val="left" w:pos="2115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</w:t>
            </w:r>
            <w:r>
              <w:rPr>
                <w:sz w:val="18"/>
                <w:szCs w:val="18"/>
              </w:rPr>
              <w:t>confectioneries, desserts and light bakery products.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This product is 1/30 concentrated product. 30-70 g is added to 1 kg of ice cream. It can be use in pastry as much as required.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Normal"/>
              <w:rPr/>
            </w:pPr>
            <w:r>
              <w:rPr>
                <w:b/>
                <w:sz w:val="18"/>
                <w:szCs w:val="18"/>
              </w:rPr>
              <w:t>Shelf life                            :</w:t>
            </w:r>
            <w:r>
              <w:rPr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0" w:after="120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2. PRODUCT INGREDIENTS :</w:t>
            </w:r>
          </w:p>
          <w:tbl>
            <w:tblPr>
              <w:tblW w:w="8942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400"/>
              <w:gridCol w:w="1832"/>
              <w:gridCol w:w="1528"/>
              <w:gridCol w:w="1715"/>
              <w:gridCol w:w="1467"/>
            </w:tblGrid>
            <w:tr>
              <w:trPr/>
              <w:tc>
                <w:tcPr>
                  <w:tcW w:w="24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INGREDIENTS</w:t>
                  </w:r>
                </w:p>
              </w:tc>
              <w:tc>
                <w:tcPr>
                  <w:tcW w:w="18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CLASS</w:t>
                  </w:r>
                </w:p>
              </w:tc>
              <w:tc>
                <w:tcPr>
                  <w:tcW w:w="15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EC CODE</w:t>
                  </w:r>
                </w:p>
              </w:tc>
              <w:tc>
                <w:tcPr>
                  <w:tcW w:w="17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MAX. DOSAGE</w:t>
                  </w:r>
                </w:p>
              </w:tc>
              <w:tc>
                <w:tcPr>
                  <w:tcW w:w="14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/>
              <w:tc>
                <w:tcPr>
                  <w:tcW w:w="24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Almond puree</w:t>
                  </w:r>
                </w:p>
              </w:tc>
              <w:tc>
                <w:tcPr>
                  <w:tcW w:w="18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5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4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%98</w:t>
                  </w:r>
                </w:p>
              </w:tc>
            </w:tr>
            <w:tr>
              <w:trPr>
                <w:trHeight w:val="81" w:hRule="atLeast"/>
                <w:cantSplit/>
              </w:trPr>
              <w:tc>
                <w:tcPr>
                  <w:tcW w:w="24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Vegetable Oil ( sunflower oil )</w:t>
                  </w:r>
                </w:p>
              </w:tc>
              <w:tc>
                <w:tcPr>
                  <w:tcW w:w="18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5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4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%1</w:t>
                  </w:r>
                </w:p>
              </w:tc>
            </w:tr>
            <w:tr>
              <w:trPr>
                <w:trHeight w:val="81" w:hRule="atLeast"/>
                <w:cantSplit/>
              </w:trPr>
              <w:tc>
                <w:tcPr>
                  <w:tcW w:w="24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 (almond)</w:t>
                  </w:r>
                </w:p>
              </w:tc>
              <w:tc>
                <w:tcPr>
                  <w:tcW w:w="18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</w:t>
                  </w:r>
                </w:p>
              </w:tc>
              <w:tc>
                <w:tcPr>
                  <w:tcW w:w="15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%1</w:t>
                  </w:r>
                </w:p>
              </w:tc>
            </w:tr>
          </w:tbl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3.NUTRITIONAL INFORMATION: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(Energy and Nutrition Facts 100 g</w:t>
            </w:r>
            <w:r>
              <w:rPr/>
              <w:t>)*;</w:t>
            </w:r>
          </w:p>
          <w:tbl>
            <w:tblPr>
              <w:tblW w:w="4254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411"/>
              <w:gridCol w:w="1843"/>
            </w:tblGrid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2420 kj/579 kcal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76,6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-of which Saturated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25,9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8,0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43,8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 / 0,0 g</w:t>
                  </w:r>
                </w:p>
              </w:tc>
            </w:tr>
          </w:tbl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bCs/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4. 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Color/Taste/Odor:</w:t>
            </w:r>
            <w:r>
              <w:rPr>
                <w:sz w:val="18"/>
                <w:szCs w:val="18"/>
              </w:rPr>
              <w:t xml:space="preserve"> It has authentic almond  color 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Appearance          :</w:t>
            </w:r>
            <w:r>
              <w:rPr>
                <w:sz w:val="18"/>
                <w:szCs w:val="18"/>
              </w:rPr>
              <w:t xml:space="preserve"> Homogenously structured with almond particles. Does not have physically distinct. It does not contain foreign materials.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Size of granule     :</w:t>
            </w:r>
            <w:r>
              <w:rPr>
                <w:sz w:val="18"/>
                <w:szCs w:val="18"/>
              </w:rPr>
              <w:t xml:space="preserve"> 30-35 micron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bCs/>
                <w:sz w:val="18"/>
                <w:szCs w:val="18"/>
                <w:lang w:val="en-US"/>
              </w:rPr>
              <w:t>5. 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pH   : 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-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Brix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70.0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rPr/>
            </w:pPr>
            <w:r>
              <w:rPr/>
              <w:t>6. CONTAMINANTS:</w:t>
            </w:r>
          </w:p>
          <w:tbl>
            <w:tblPr>
              <w:tblW w:w="488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326"/>
              <w:gridCol w:w="1560"/>
            </w:tblGrid>
            <w:tr>
              <w:trPr>
                <w:trHeight w:val="227" w:hRule="exact"/>
              </w:trPr>
              <w:tc>
                <w:tcPr>
                  <w:tcW w:w="33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 (ppb)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Max.8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B1+B2+G1+G2 (ppb)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Zearalenon (ZON) (ppb)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Deoxinivanelone (DON) (ppb)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7. MICROBIOLOGICAL CHARACTERISTICS:</w:t>
            </w:r>
            <w:r>
              <w:rPr/>
              <w:t xml:space="preserve"> </w:t>
            </w:r>
          </w:p>
          <w:tbl>
            <w:tblPr>
              <w:tblW w:w="35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671"/>
              <w:gridCol w:w="2827"/>
              <w:gridCol w:w="2400"/>
            </w:tblGrid>
            <w:tr>
              <w:trPr>
                <w:trHeight w:val="358" w:hRule="atLeast"/>
                <w:cantSplit/>
              </w:trPr>
              <w:tc>
                <w:tcPr>
                  <w:tcW w:w="26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8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4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286" w:hRule="atLeast"/>
                <w:cantSplit/>
              </w:trPr>
              <w:tc>
                <w:tcPr>
                  <w:tcW w:w="26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and Yeast (kob/g)</w:t>
                  </w:r>
                </w:p>
              </w:tc>
              <w:tc>
                <w:tcPr>
                  <w:tcW w:w="28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4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val="en-US"/>
                    </w:rPr>
                    <w:t>ISO 7954 – ISO 21527 -1 /2</w:t>
                  </w:r>
                </w:p>
              </w:tc>
            </w:tr>
            <w:tr>
              <w:trPr>
                <w:trHeight w:val="286" w:hRule="atLeast"/>
                <w:cantSplit/>
              </w:trPr>
              <w:tc>
                <w:tcPr>
                  <w:tcW w:w="26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E.Coli  (kob/g)</w:t>
                  </w:r>
                </w:p>
              </w:tc>
              <w:tc>
                <w:tcPr>
                  <w:tcW w:w="28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&lt;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24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16649-2/3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Contains almond. (According to European Regulation 2000/13/EC and subsequent modifications)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10.REFERENCES:</w:t>
            </w: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* European Regulation 2073/2005/EC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>
          <w:trHeight w:val="158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 :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 :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 :</w:t>
            </w:r>
          </w:p>
        </w:tc>
      </w:tr>
      <w:tr>
        <w:trPr>
          <w:trHeight w:val="784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R&amp;D Manager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Manager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Manager</w:t>
              <w:br/>
              <w:br/>
            </w:r>
          </w:p>
        </w:tc>
      </w:tr>
    </w:tbl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sectPr>
      <w:type w:val="nextPage"/>
      <w:pgSz w:w="11906" w:h="16838"/>
      <w:pgMar w:left="1417" w:right="1417" w:gutter="0" w:header="0" w:top="540" w:footer="0" w:bottom="5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a2" w:characterSet="windows-1254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tr-TR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  <w:sz w:val="20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onMetni">
    <w:name w:val="Balon Metni"/>
    <w:basedOn w:val="Normal"/>
    <w:qFormat/>
    <w:pPr/>
    <w:rPr>
      <w:rFonts w:ascii="Tahoma" w:hAnsi="Tahoma" w:cs="Tahoma"/>
      <w:sz w:val="16"/>
      <w:szCs w:val="16"/>
    </w:rPr>
  </w:style>
  <w:style w:type="paragraph" w:styleId="GvdeMetni2">
    <w:name w:val="Gövde Metni 2"/>
    <w:basedOn w:val="Normal"/>
    <w:qFormat/>
    <w:pPr>
      <w:spacing w:lineRule="auto" w:line="480" w:before="0" w:after="120"/>
    </w:pPr>
    <w:rPr>
      <w:lang w:val="en-U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2012-04-30T17:07:00Z</dcterms:created>
  <dc:creator>Notebook</dc:creator>
  <dc:description/>
  <cp:keywords/>
  <dc:language>de-DE</dc:language>
  <cp:lastModifiedBy>Esra Kuşoğlu</cp:lastModifiedBy>
  <cp:lastPrinted>2005-04-27T17:06:00Z</cp:lastPrinted>
  <dcterms:modified xsi:type="dcterms:W3CDTF">2024-06-14T12:37:00Z</dcterms:modified>
  <cp:revision>28</cp:revision>
  <dc:subject/>
  <dc:title>ÖZMER</dc:title>
</cp:coreProperties>
</file>