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1340" w:type="dxa"/>
        <w:jc w:val="start"/>
        <w:tblInd w:w="-95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552"/>
        <w:gridCol w:w="868"/>
        <w:gridCol w:w="3810"/>
        <w:gridCol w:w="708"/>
        <w:gridCol w:w="3402"/>
      </w:tblGrid>
      <w:tr>
        <w:trPr>
          <w:trHeight w:val="847" w:hRule="atLeast"/>
        </w:trPr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de-DE" w:eastAsia="de-DE"/>
              </w:rPr>
              <w:drawing>
                <wp:inline distT="0" distB="0" distL="0" distR="0">
                  <wp:extent cx="1313815" cy="466090"/>
                  <wp:effectExtent l="0" t="0" r="0" b="0"/>
                  <wp:docPr id="1" name="Resi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Resim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33" t="-64" r="-33" b="-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60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18"/>
                <w:szCs w:val="18"/>
                <w:lang w:val="en-US" w:eastAsia="en-US"/>
              </w:rPr>
            </w:pPr>
            <w:r>
              <w:rPr>
                <w:b/>
                <w:sz w:val="18"/>
                <w:szCs w:val="18"/>
                <w:lang w:val="en-US" w:eastAsia="en-US"/>
              </w:rPr>
              <w:t xml:space="preserve">PASTE FOR PASTRY AND ICE CREAM </w:t>
            </w:r>
          </w:p>
          <w:p>
            <w:pPr>
              <w:pStyle w:val="Normal"/>
              <w:jc w:val="center"/>
              <w:rPr>
                <w:b/>
                <w:sz w:val="18"/>
                <w:szCs w:val="18"/>
                <w:lang w:val="en-US" w:eastAsia="en-US"/>
              </w:rPr>
            </w:pPr>
            <w:r>
              <w:rPr>
                <w:b/>
                <w:sz w:val="18"/>
                <w:szCs w:val="18"/>
                <w:lang w:val="en-US" w:eastAsia="en-US"/>
              </w:rPr>
              <w:t>PRODUCT SPECIFICATION</w:t>
            </w:r>
          </w:p>
          <w:p>
            <w:pPr>
              <w:pStyle w:val="Normal"/>
              <w:jc w:val="center"/>
              <w:rPr>
                <w:b/>
                <w:sz w:val="18"/>
                <w:szCs w:val="18"/>
                <w:lang w:val="en-US" w:eastAsia="en-US"/>
              </w:rPr>
            </w:pPr>
            <w:r>
              <w:rPr>
                <w:b/>
                <w:sz w:val="18"/>
                <w:szCs w:val="18"/>
                <w:lang w:val="en-US" w:eastAsia="en-US"/>
              </w:rPr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Document No  : SP-FP-341</w:t>
            </w:r>
          </w:p>
          <w:p>
            <w:pPr>
              <w:pStyle w:val="Normal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/>
              </w:rPr>
              <w:t>1</w:t>
            </w:r>
            <w:r>
              <w:rPr>
                <w:sz w:val="18"/>
                <w:szCs w:val="18"/>
                <w:vertAlign w:val="superscript"/>
                <w:lang w:val="en-US"/>
              </w:rPr>
              <w:t>st</w:t>
            </w:r>
            <w:r>
              <w:rPr>
                <w:sz w:val="18"/>
                <w:szCs w:val="18"/>
                <w:lang w:val="en-US"/>
              </w:rPr>
              <w:t xml:space="preserve">  issue: 01/05/2003</w:t>
            </w:r>
          </w:p>
          <w:p>
            <w:pPr>
              <w:pStyle w:val="Normal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Revision No.: 01</w:t>
            </w:r>
          </w:p>
          <w:p>
            <w:pPr>
              <w:pStyle w:val="Normal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Revision Date: 01.03.2022</w:t>
            </w:r>
          </w:p>
          <w:p>
            <w:pPr>
              <w:pStyle w:val="Normal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/>
              </w:rPr>
              <w:t>Page No.: 1/1</w:t>
            </w:r>
          </w:p>
        </w:tc>
      </w:tr>
      <w:tr>
        <w:trPr>
          <w:trHeight w:val="12899" w:hRule="atLeast"/>
        </w:trPr>
        <w:tc>
          <w:tcPr>
            <w:tcW w:w="1134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hd w:fill="C6D9F1" w:val="clear"/>
              <w:tabs>
                <w:tab w:val="clear" w:pos="708"/>
                <w:tab w:val="left" w:pos="252" w:leader="none"/>
              </w:tabs>
              <w:spacing w:before="120" w:after="0"/>
              <w:rPr/>
            </w:pPr>
            <w:r>
              <w:rPr>
                <w:b/>
                <w:sz w:val="18"/>
                <w:szCs w:val="18"/>
                <w:lang w:val="en-US" w:eastAsia="en-US"/>
              </w:rPr>
              <w:t>1.</w:t>
              <w:tab/>
              <w:t>GENERAL CHARACTERISTICS: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  <w:lang w:val="en-US" w:eastAsia="en-US"/>
              </w:rPr>
              <w:t>Trade Mark                      :</w:t>
            </w:r>
            <w:r>
              <w:rPr>
                <w:sz w:val="18"/>
                <w:szCs w:val="18"/>
                <w:lang w:val="en-US" w:eastAsia="en-US"/>
              </w:rPr>
              <w:t xml:space="preserve"> FO FOOD PRODUCTS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  <w:lang w:val="en-US" w:eastAsia="en-US"/>
              </w:rPr>
            </w:pPr>
            <w:r>
              <w:rPr>
                <w:b/>
                <w:sz w:val="18"/>
                <w:szCs w:val="18"/>
                <w:lang w:val="en-US" w:eastAsia="en-US"/>
              </w:rPr>
              <w:t>Product Name                   :</w:t>
            </w:r>
            <w:r>
              <w:rPr>
                <w:sz w:val="18"/>
                <w:szCs w:val="18"/>
                <w:lang w:val="en-US" w:eastAsia="en-US"/>
              </w:rPr>
              <w:t xml:space="preserve"> </w:t>
            </w:r>
            <w:r>
              <w:rPr>
                <w:b/>
                <w:sz w:val="18"/>
                <w:szCs w:val="18"/>
                <w:lang w:val="en-US" w:eastAsia="en-US"/>
              </w:rPr>
              <w:t>STRAWBERRY PASTE  FOR PASTRY AND ICE CREAM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  <w:lang w:val="en-US" w:eastAsia="en-US"/>
              </w:rPr>
              <w:t>Packaging Amount/Type :</w:t>
            </w:r>
            <w:r>
              <w:rPr>
                <w:sz w:val="18"/>
                <w:szCs w:val="18"/>
                <w:lang w:val="en-US" w:eastAsia="en-US"/>
              </w:rPr>
              <w:t xml:space="preserve"> 1600 g / Polyethylene bottle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  <w:lang w:val="en-US" w:eastAsia="en-US"/>
              </w:rPr>
              <w:t>Shipment                           :</w:t>
            </w:r>
            <w:r>
              <w:rPr>
                <w:sz w:val="18"/>
                <w:szCs w:val="18"/>
                <w:lang w:val="en-US" w:eastAsia="en-US"/>
              </w:rPr>
              <w:t xml:space="preserve"> Shipped in closed cartoon packaging on lorries with closed containers.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  <w:lang w:val="en-US" w:eastAsia="en-US"/>
              </w:rPr>
              <w:t>Intended Area of Usage   :</w:t>
            </w:r>
            <w:r>
              <w:rPr>
                <w:sz w:val="18"/>
                <w:szCs w:val="18"/>
                <w:lang w:val="en-US" w:eastAsia="en-US"/>
              </w:rPr>
              <w:t xml:space="preserve"> Used in general purpose human nutrition, in ice creams, edible ices, pastry dough, creams, jellies, cookie dough, all 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  <w:t xml:space="preserve">                                              </w:t>
            </w:r>
            <w:r>
              <w:rPr>
                <w:sz w:val="18"/>
                <w:szCs w:val="18"/>
                <w:lang w:val="en-US" w:eastAsia="en-US"/>
              </w:rPr>
              <w:t>confectioneries, desserts and light bakery products.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  <w:lang w:val="en-US" w:eastAsia="en-US"/>
              </w:rPr>
              <w:t>Type of Usage                   :</w:t>
            </w:r>
            <w:r>
              <w:rPr>
                <w:sz w:val="18"/>
                <w:szCs w:val="18"/>
                <w:lang w:val="en-US" w:eastAsia="en-US"/>
              </w:rPr>
              <w:t xml:space="preserve"> This product is 1/30 concentrated product. 30-70 g is added to 1 kg of ice cream. It can be use in pastry as much as required.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  <w:lang w:val="en-US" w:eastAsia="en-US"/>
              </w:rPr>
              <w:t>Storing Conditions           :</w:t>
            </w:r>
            <w:r>
              <w:rPr>
                <w:sz w:val="18"/>
                <w:szCs w:val="18"/>
                <w:lang w:val="en-US" w:eastAsia="en-US"/>
              </w:rPr>
              <w:t xml:space="preserve"> It should be stored in its original packaging, 20-22º C under dry conditions, and direct sunlight should be avoided. 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  <w:lang w:val="en-US" w:eastAsia="en-US"/>
              </w:rPr>
              <w:t>Shelf life                            :</w:t>
            </w:r>
            <w:r>
              <w:rPr>
                <w:sz w:val="18"/>
                <w:szCs w:val="18"/>
                <w:lang w:val="en-US" w:eastAsia="en-US"/>
              </w:rPr>
              <w:t xml:space="preserve"> The shelf life under defined storing conditions and in unopened packaging is 3 year.</w:t>
            </w:r>
          </w:p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spacing w:before="0" w:after="120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  <w:szCs w:val="18"/>
                <w:lang w:val="en-US"/>
              </w:rPr>
              <w:t>2. PRODUCT INGREDIENTS :</w:t>
            </w:r>
          </w:p>
          <w:tbl>
            <w:tblPr>
              <w:tblW w:w="10432" w:type="dxa"/>
              <w:jc w:val="start"/>
              <w:tblInd w:w="454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2939"/>
              <w:gridCol w:w="2126"/>
              <w:gridCol w:w="1843"/>
              <w:gridCol w:w="1366"/>
              <w:gridCol w:w="2158"/>
            </w:tblGrid>
            <w:tr>
              <w:trPr>
                <w:trHeight w:val="197" w:hRule="atLeast"/>
              </w:trPr>
              <w:tc>
                <w:tcPr>
                  <w:tcW w:w="29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bCs/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en-US"/>
                    </w:rPr>
                    <w:t>INGREDIENT</w:t>
                  </w:r>
                </w:p>
              </w:tc>
              <w:tc>
                <w:tcPr>
                  <w:tcW w:w="212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bCs/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en-US"/>
                    </w:rPr>
                    <w:t>CLASS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bCs/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en-US"/>
                    </w:rPr>
                    <w:t>EC CODE</w:t>
                  </w:r>
                </w:p>
              </w:tc>
              <w:tc>
                <w:tcPr>
                  <w:tcW w:w="136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/>
                  </w:pPr>
                  <w:r>
                    <w:rPr>
                      <w:b/>
                      <w:bCs/>
                      <w:sz w:val="18"/>
                      <w:szCs w:val="18"/>
                      <w:lang w:val="en-US"/>
                    </w:rPr>
                    <w:t>MAX. DOSAGE</w:t>
                  </w:r>
                </w:p>
              </w:tc>
              <w:tc>
                <w:tcPr>
                  <w:tcW w:w="215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bCs/>
                      <w:sz w:val="18"/>
                      <w:szCs w:val="18"/>
                      <w:lang w:val="en-US"/>
                    </w:rPr>
                  </w:pPr>
                  <w:r>
                    <w:rPr>
                      <w:b/>
                      <w:sz w:val="18"/>
                      <w:szCs w:val="18"/>
                    </w:rPr>
                    <w:t>PERCENTAGE</w:t>
                  </w:r>
                </w:p>
              </w:tc>
            </w:tr>
            <w:tr>
              <w:trPr>
                <w:trHeight w:val="197" w:hRule="atLeast"/>
              </w:trPr>
              <w:tc>
                <w:tcPr>
                  <w:tcW w:w="29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Sugar</w:t>
                  </w:r>
                </w:p>
              </w:tc>
              <w:tc>
                <w:tcPr>
                  <w:tcW w:w="212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—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—</w:t>
                  </w:r>
                </w:p>
              </w:tc>
              <w:tc>
                <w:tcPr>
                  <w:tcW w:w="136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—</w:t>
                  </w:r>
                </w:p>
              </w:tc>
              <w:tc>
                <w:tcPr>
                  <w:tcW w:w="215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% 58,36</w:t>
                  </w:r>
                </w:p>
              </w:tc>
            </w:tr>
            <w:tr>
              <w:trPr>
                <w:trHeight w:val="188" w:hRule="atLeast"/>
              </w:trPr>
              <w:tc>
                <w:tcPr>
                  <w:tcW w:w="29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 xml:space="preserve">Strawberry </w:t>
                  </w:r>
                </w:p>
              </w:tc>
              <w:tc>
                <w:tcPr>
                  <w:tcW w:w="212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—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—</w:t>
                  </w:r>
                </w:p>
              </w:tc>
              <w:tc>
                <w:tcPr>
                  <w:tcW w:w="136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—</w:t>
                  </w:r>
                </w:p>
              </w:tc>
              <w:tc>
                <w:tcPr>
                  <w:tcW w:w="215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alonMetni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% 35</w:t>
                  </w:r>
                </w:p>
              </w:tc>
            </w:tr>
            <w:tr>
              <w:trPr>
                <w:trHeight w:val="242" w:hRule="atLeast"/>
              </w:trPr>
              <w:tc>
                <w:tcPr>
                  <w:tcW w:w="29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Flavoring (Strawberry)</w:t>
                  </w:r>
                </w:p>
              </w:tc>
              <w:tc>
                <w:tcPr>
                  <w:tcW w:w="212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Flavoring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—</w:t>
                  </w:r>
                </w:p>
              </w:tc>
              <w:tc>
                <w:tcPr>
                  <w:tcW w:w="136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—</w:t>
                  </w:r>
                </w:p>
              </w:tc>
              <w:tc>
                <w:tcPr>
                  <w:tcW w:w="215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alonMetni"/>
                    <w:jc w:val="center"/>
                    <w:rPr/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% 3,5</w:t>
                  </w:r>
                </w:p>
              </w:tc>
            </w:tr>
            <w:tr>
              <w:trPr>
                <w:trHeight w:val="76" w:hRule="atLeast"/>
                <w:cantSplit/>
              </w:trPr>
              <w:tc>
                <w:tcPr>
                  <w:tcW w:w="29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tcMar>
                    <w:start w:w="70" w:type="dxa"/>
                    <w:end w:w="70" w:type="dxa"/>
                  </w:tcMar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Citric acid</w:t>
                  </w:r>
                </w:p>
              </w:tc>
              <w:tc>
                <w:tcPr>
                  <w:tcW w:w="212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tcMar>
                    <w:start w:w="70" w:type="dxa"/>
                    <w:end w:w="70" w:type="dxa"/>
                  </w:tcMar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Acidity regulator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tcMar>
                    <w:start w:w="70" w:type="dxa"/>
                    <w:end w:w="70" w:type="dxa"/>
                  </w:tcMar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E 330</w:t>
                  </w:r>
                </w:p>
              </w:tc>
              <w:tc>
                <w:tcPr>
                  <w:tcW w:w="136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tcMar>
                    <w:start w:w="70" w:type="dxa"/>
                    <w:end w:w="70" w:type="dxa"/>
                  </w:tcMar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QS</w:t>
                  </w:r>
                </w:p>
              </w:tc>
              <w:tc>
                <w:tcPr>
                  <w:tcW w:w="215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tcMar>
                    <w:start w:w="70" w:type="dxa"/>
                    <w:end w:w="70" w:type="dxa"/>
                  </w:tcMar>
                </w:tcPr>
                <w:p>
                  <w:pPr>
                    <w:pStyle w:val="BalonMetni"/>
                    <w:jc w:val="center"/>
                    <w:rPr/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% 2,5</w:t>
                  </w:r>
                </w:p>
              </w:tc>
            </w:tr>
            <w:tr>
              <w:trPr>
                <w:trHeight w:val="76" w:hRule="atLeast"/>
                <w:cantSplit/>
              </w:trPr>
              <w:tc>
                <w:tcPr>
                  <w:tcW w:w="29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tcMar>
                    <w:start w:w="70" w:type="dxa"/>
                    <w:end w:w="70" w:type="dxa"/>
                  </w:tcMar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Pectin, Carboxy methyl cellulose</w:t>
                  </w:r>
                </w:p>
              </w:tc>
              <w:tc>
                <w:tcPr>
                  <w:tcW w:w="212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tcMar>
                    <w:start w:w="70" w:type="dxa"/>
                    <w:end w:w="70" w:type="dxa"/>
                  </w:tcMar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Thickener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tcMar>
                    <w:start w:w="70" w:type="dxa"/>
                    <w:end w:w="70" w:type="dxa"/>
                  </w:tcMar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E 440,E 466</w:t>
                  </w:r>
                </w:p>
              </w:tc>
              <w:tc>
                <w:tcPr>
                  <w:tcW w:w="136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tcMar>
                    <w:start w:w="70" w:type="dxa"/>
                    <w:end w:w="70" w:type="dxa"/>
                  </w:tcMar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QS</w:t>
                  </w:r>
                </w:p>
              </w:tc>
              <w:tc>
                <w:tcPr>
                  <w:tcW w:w="215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tcMar>
                    <w:start w:w="70" w:type="dxa"/>
                    <w:end w:w="70" w:type="dxa"/>
                  </w:tcMar>
                </w:tcPr>
                <w:p>
                  <w:pPr>
                    <w:pStyle w:val="BalonMetni"/>
                    <w:jc w:val="center"/>
                    <w:rPr/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% 0,5</w:t>
                  </w:r>
                </w:p>
              </w:tc>
            </w:tr>
            <w:tr>
              <w:trPr>
                <w:trHeight w:val="188" w:hRule="atLeast"/>
              </w:trPr>
              <w:tc>
                <w:tcPr>
                  <w:tcW w:w="29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</w:rPr>
                    <w:t xml:space="preserve">Allura red </w:t>
                  </w:r>
                </w:p>
              </w:tc>
              <w:tc>
                <w:tcPr>
                  <w:tcW w:w="212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 w:eastAsia="en-US"/>
                    </w:rPr>
                    <w:t>Colorant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 w:eastAsia="en-US"/>
                    </w:rPr>
                    <w:t>E 129</w:t>
                  </w:r>
                </w:p>
              </w:tc>
              <w:tc>
                <w:tcPr>
                  <w:tcW w:w="136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150 mg/kg</w:t>
                  </w:r>
                </w:p>
              </w:tc>
              <w:tc>
                <w:tcPr>
                  <w:tcW w:w="215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alonMetni"/>
                    <w:jc w:val="center"/>
                    <w:rPr/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% 0,14</w:t>
                  </w:r>
                </w:p>
              </w:tc>
            </w:tr>
          </w:tbl>
          <w:p>
            <w:pPr>
              <w:pStyle w:val="BodyText"/>
              <w:shd w:fill="C6D9F1" w:val="clear"/>
              <w:jc w:val="start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3.NUTRITIONAL INFORMATION: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(Energy and Nutrition Facts 100 g)*;</w:t>
            </w:r>
          </w:p>
          <w:tbl>
            <w:tblPr>
              <w:tblW w:w="3544" w:type="dxa"/>
              <w:jc w:val="start"/>
              <w:tblInd w:w="454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1843"/>
              <w:gridCol w:w="1701"/>
            </w:tblGrid>
            <w:tr>
              <w:trPr/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Energy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/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1150kj / 274kcal</w:t>
                  </w:r>
                </w:p>
              </w:tc>
            </w:tr>
            <w:tr>
              <w:trPr/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Total Fat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-of which Saturated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Cholesterol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Total Carbohydrate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62,3 g</w:t>
                  </w:r>
                </w:p>
              </w:tc>
            </w:tr>
            <w:tr>
              <w:trPr/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Sugar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62,3 g</w:t>
                  </w:r>
                </w:p>
              </w:tc>
            </w:tr>
            <w:tr>
              <w:trPr/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Starch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Dietary Fibre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Protein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Sodium/salt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0,01g / 0,025g</w:t>
                  </w:r>
                </w:p>
              </w:tc>
            </w:tr>
          </w:tbl>
          <w:p>
            <w:pPr>
              <w:pStyle w:val="BodyText"/>
              <w:jc w:val="star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*( According to European Regulation  90/496/CE and subsequent modifications)</w:t>
            </w:r>
          </w:p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spacing w:before="120" w:after="0"/>
              <w:rPr>
                <w:b/>
                <w:bCs/>
                <w:sz w:val="18"/>
                <w:szCs w:val="18"/>
                <w:lang w:val="en-US" w:eastAsia="en-US"/>
              </w:rPr>
            </w:pPr>
            <w:r>
              <w:rPr>
                <w:b/>
                <w:bCs/>
                <w:sz w:val="18"/>
                <w:szCs w:val="18"/>
                <w:lang w:val="en-US"/>
              </w:rPr>
              <w:t>4.</w:t>
              <w:tab/>
              <w:t>PHYSICAL CHARACTERISTICS: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Color/Taste/Odor :</w:t>
            </w:r>
            <w:r>
              <w:rPr>
                <w:sz w:val="18"/>
                <w:szCs w:val="18"/>
              </w:rPr>
              <w:t xml:space="preserve"> It has authentic strawberry color, taste and odor.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Appearance           :</w:t>
            </w:r>
            <w:r>
              <w:rPr>
                <w:sz w:val="18"/>
                <w:szCs w:val="18"/>
              </w:rPr>
              <w:t xml:space="preserve"> Homogenously structured with strawberry particles. Does not have physically distinct. It does not contain foreign materials.</w:t>
            </w:r>
          </w:p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spacing w:before="120" w:after="0"/>
              <w:rPr/>
            </w:pPr>
            <w:r>
              <w:rPr>
                <w:b/>
                <w:bCs/>
                <w:sz w:val="18"/>
                <w:szCs w:val="18"/>
                <w:lang w:val="en-US"/>
              </w:rPr>
              <w:t>5.</w:t>
              <w:tab/>
              <w:t>CHEMICAL CHARACTERISTICS:</w:t>
            </w:r>
          </w:p>
          <w:p>
            <w:pPr>
              <w:pStyle w:val="BodyText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pH  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 2,3 </w:t>
            </w:r>
            <w:r>
              <w:rPr>
                <w:rFonts w:eastAsia="Symbol" w:cs="Symbol" w:ascii="Symbol" w:hAnsi="Symbol"/>
                <w:sz w:val="18"/>
                <w:szCs w:val="18"/>
              </w:rPr>
              <w:sym w:font="Symbol" w:char="f0b1"/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0,2</w:t>
            </w:r>
          </w:p>
          <w:p>
            <w:pPr>
              <w:pStyle w:val="BodyText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Brix: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 71.0 </w:t>
            </w:r>
            <w:r>
              <w:rPr>
                <w:rFonts w:eastAsia="Symbol" w:cs="Symbol" w:ascii="Symbol" w:hAnsi="Symbol"/>
                <w:sz w:val="18"/>
                <w:szCs w:val="18"/>
              </w:rPr>
              <w:sym w:font="Symbol" w:char="f0b1"/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2.0</w:t>
            </w:r>
          </w:p>
          <w:p>
            <w:pPr>
              <w:pStyle w:val="Normal"/>
              <w:shd w:fill="BDD6EE" w:val="clear"/>
              <w:tabs>
                <w:tab w:val="clear" w:pos="708"/>
                <w:tab w:val="left" w:pos="360" w:leader="none"/>
                <w:tab w:val="left" w:pos="720" w:leader="none"/>
              </w:tabs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6.  CONTAMINANTS  :</w:t>
            </w:r>
          </w:p>
          <w:tbl>
            <w:tblPr>
              <w:tblW w:w="4536" w:type="dxa"/>
              <w:jc w:val="start"/>
              <w:tblInd w:w="492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2977"/>
              <w:gridCol w:w="1559"/>
            </w:tblGrid>
            <w:tr>
              <w:trPr/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Zearalenon (ZON) (ppb)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Max. 50</w:t>
                  </w:r>
                </w:p>
              </w:tc>
            </w:tr>
            <w:tr>
              <w:trPr/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Deoxinivanelone (DON) (ppb)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Max. 500</w:t>
                  </w:r>
                </w:p>
              </w:tc>
            </w:tr>
            <w:tr>
              <w:trPr/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rPr>
                      <w:rFonts w:ascii="Times New Roman" w:hAnsi="Times New Roman" w:cs="Times New Roman"/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Cadmium (Cd) (mg/kg)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Max. 1</w:t>
                  </w:r>
                </w:p>
              </w:tc>
            </w:tr>
            <w:tr>
              <w:trPr/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Arsenic (As) (mg/kg)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Max.3</w:t>
                  </w:r>
                </w:p>
              </w:tc>
            </w:tr>
            <w:tr>
              <w:trPr/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Mercury (Hg) (mg/kg)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Max. 1</w:t>
                  </w:r>
                </w:p>
              </w:tc>
            </w:tr>
            <w:tr>
              <w:trPr/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Lead ( Pb) (mg/kg)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Max. 10</w:t>
                  </w:r>
                </w:p>
              </w:tc>
            </w:tr>
          </w:tbl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rPr>
                <w:sz w:val="18"/>
                <w:szCs w:val="18"/>
                <w:lang w:val="en-US" w:eastAsia="en-US"/>
              </w:rPr>
            </w:pPr>
            <w:r>
              <w:rPr>
                <w:b/>
                <w:bCs/>
                <w:sz w:val="18"/>
                <w:szCs w:val="18"/>
                <w:lang w:val="en-US" w:eastAsia="en-US"/>
              </w:rPr>
              <w:t>7.</w:t>
              <w:tab/>
              <w:t>MICROBIOLOGICAL CHARACTERISTICS:</w:t>
            </w:r>
            <w:r>
              <w:rPr>
                <w:sz w:val="18"/>
                <w:szCs w:val="18"/>
                <w:lang w:val="en-US" w:eastAsia="en-US"/>
              </w:rPr>
              <w:t xml:space="preserve"> </w:t>
            </w:r>
          </w:p>
          <w:tbl>
            <w:tblPr>
              <w:tblW w:w="3650" w:type="pct"/>
              <w:jc w:val="start"/>
              <w:tblInd w:w="465" w:type="dxa"/>
              <w:tblLayout w:type="fixed"/>
              <w:tblCellMar>
                <w:top w:w="0" w:type="dxa"/>
                <w:start w:w="70" w:type="dxa"/>
                <w:bottom w:w="0" w:type="dxa"/>
                <w:end w:w="70" w:type="dxa"/>
              </w:tblCellMar>
            </w:tblPr>
            <w:tblGrid>
              <w:gridCol w:w="2713"/>
              <w:gridCol w:w="2777"/>
              <w:gridCol w:w="2630"/>
            </w:tblGrid>
            <w:tr>
              <w:trPr>
                <w:trHeight w:val="214" w:hRule="atLeast"/>
                <w:cantSplit/>
              </w:trPr>
              <w:tc>
                <w:tcPr>
                  <w:tcW w:w="271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MICROORGANISM NAME</w:t>
                  </w:r>
                </w:p>
              </w:tc>
              <w:tc>
                <w:tcPr>
                  <w:tcW w:w="27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MICROBIOLOGICAL VALUE</w:t>
                  </w:r>
                </w:p>
              </w:tc>
              <w:tc>
                <w:tcPr>
                  <w:tcW w:w="263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ANALYSIS METHOD</w:t>
                  </w:r>
                </w:p>
              </w:tc>
            </w:tr>
            <w:tr>
              <w:trPr>
                <w:trHeight w:val="383" w:hRule="atLeast"/>
                <w:cantSplit/>
              </w:trPr>
              <w:tc>
                <w:tcPr>
                  <w:tcW w:w="271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Mould &amp; Yeast (kob/g)</w:t>
                  </w:r>
                </w:p>
              </w:tc>
              <w:tc>
                <w:tcPr>
                  <w:tcW w:w="27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rPr/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 xml:space="preserve">1.0 </w:t>
                  </w:r>
                  <w:r>
                    <w:rPr>
                      <w:rFonts w:eastAsia="Symbol" w:cs="Symbol" w:ascii="Symbol" w:hAnsi="Symbol"/>
                      <w:sz w:val="18"/>
                      <w:szCs w:val="18"/>
                    </w:rPr>
                    <w:sym w:font="Symbol" w:char="f0b4"/>
                  </w: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 xml:space="preserve"> 10²</w:t>
                  </w:r>
                </w:p>
              </w:tc>
              <w:tc>
                <w:tcPr>
                  <w:tcW w:w="263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ISO 7954 – ISO 21527 -1 /2</w:t>
                  </w:r>
                </w:p>
              </w:tc>
            </w:tr>
          </w:tbl>
          <w:p>
            <w:pPr>
              <w:pStyle w:val="BodyText"/>
              <w:shd w:fill="C6D9F1" w:val="clear"/>
              <w:jc w:val="start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  <w:shd w:fill="C6D9F1" w:val="clear"/>
              </w:rPr>
              <w:t>8.ALLERGEN ALERT:</w:t>
            </w: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 xml:space="preserve"> </w:t>
            </w:r>
          </w:p>
          <w:p>
            <w:pPr>
              <w:pStyle w:val="BodyText"/>
              <w:jc w:val="start"/>
              <w:rPr/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Does not contain any allergen. (According to European Regulation 2000/13/EC and subsequent modifications)</w:t>
            </w:r>
          </w:p>
          <w:p>
            <w:pPr>
              <w:pStyle w:val="BodyText"/>
              <w:shd w:fill="C6D9F1" w:val="clear"/>
              <w:jc w:val="start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  <w:shd w:fill="C6D9F1" w:val="clear"/>
              </w:rPr>
              <w:t>9.GMO DECLARATION:</w:t>
            </w: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 xml:space="preserve"> </w:t>
            </w:r>
          </w:p>
          <w:p>
            <w:pPr>
              <w:pStyle w:val="BodyText"/>
              <w:jc w:val="start"/>
              <w:rPr/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OZMER  PASTACILIK A.S.  declares under its responsibility that the product of this chart is produced with no GMO.</w:t>
            </w:r>
          </w:p>
          <w:p>
            <w:pPr>
              <w:pStyle w:val="BodyText"/>
              <w:jc w:val="star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( According to European Regulation 2003/1829/CE,2003/1830/CE and subsequent modification. </w:t>
            </w:r>
          </w:p>
          <w:p>
            <w:pPr>
              <w:pStyle w:val="BodyTex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</w:t>
            </w:r>
          </w:p>
          <w:p>
            <w:pPr>
              <w:pStyle w:val="BodyText"/>
              <w:shd w:fill="C6D9F1" w:val="clear"/>
              <w:jc w:val="start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10.REFERENCES:</w:t>
            </w:r>
            <w:r>
              <w:rPr>
                <w:rFonts w:cs="Times New Roman" w:ascii="Times New Roman" w:hAnsi="Times New Roman"/>
                <w:b/>
                <w:sz w:val="18"/>
                <w:szCs w:val="18"/>
              </w:rPr>
              <w:t xml:space="preserve"> </w:t>
            </w:r>
          </w:p>
          <w:p>
            <w:pPr>
              <w:pStyle w:val="BodyText"/>
              <w:jc w:val="star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OZMER PASTACILIK A.S. declares under its responsibility that the product of this chart is in accordance with the law in force;</w:t>
            </w:r>
          </w:p>
          <w:p>
            <w:pPr>
              <w:pStyle w:val="BodyText"/>
              <w:jc w:val="star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 European Regulation 1333/2008/EC</w:t>
            </w:r>
          </w:p>
          <w:p>
            <w:pPr>
              <w:pStyle w:val="BodyText"/>
              <w:jc w:val="star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European Regulation 1881/2006/EC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</w:t>
            </w:r>
          </w:p>
          <w:p>
            <w:pPr>
              <w:pStyle w:val="BodyText"/>
              <w:jc w:val="start"/>
              <w:rPr/>
            </w:pP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* European Regulation 2073/2005/EC </w:t>
            </w:r>
          </w:p>
          <w:p>
            <w:pPr>
              <w:pStyle w:val="BodyText"/>
              <w:jc w:val="star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 European Regulation 396/2005/EC and subsequent modifications.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  <w:lang w:val="en-US" w:eastAsia="en-US"/>
              </w:rPr>
            </w:pPr>
            <w:r>
              <w:rPr>
                <w:b/>
                <w:sz w:val="18"/>
                <w:szCs w:val="18"/>
              </w:rPr>
              <w:t xml:space="preserve"> </w:t>
            </w:r>
          </w:p>
        </w:tc>
      </w:tr>
      <w:tr>
        <w:trPr>
          <w:trHeight w:val="158" w:hRule="atLeast"/>
          <w:cantSplit/>
        </w:trPr>
        <w:tc>
          <w:tcPr>
            <w:tcW w:w="34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PREPARED BY :</w:t>
            </w:r>
          </w:p>
        </w:tc>
        <w:tc>
          <w:tcPr>
            <w:tcW w:w="3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REVIEWED BY :</w:t>
            </w:r>
          </w:p>
        </w:tc>
        <w:tc>
          <w:tcPr>
            <w:tcW w:w="411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Normal"/>
              <w:tabs>
                <w:tab w:val="clear" w:pos="708"/>
                <w:tab w:val="left" w:pos="389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APPROVED BY :</w:t>
            </w:r>
          </w:p>
        </w:tc>
      </w:tr>
      <w:tr>
        <w:trPr>
          <w:trHeight w:val="784" w:hRule="atLeast"/>
          <w:cantSplit/>
        </w:trPr>
        <w:tc>
          <w:tcPr>
            <w:tcW w:w="34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R&amp;D Manager</w:t>
            </w:r>
          </w:p>
        </w:tc>
        <w:tc>
          <w:tcPr>
            <w:tcW w:w="3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Quality Management Manager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411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Normal"/>
              <w:tabs>
                <w:tab w:val="clear" w:pos="708"/>
                <w:tab w:val="left" w:pos="3890" w:leader="none"/>
              </w:tabs>
              <w:rPr/>
            </w:pPr>
            <w:r>
              <w:rPr>
                <w:sz w:val="18"/>
                <w:szCs w:val="18"/>
                <w:lang w:val="de-DE"/>
              </w:rPr>
              <w:t>General  Manager</w:t>
              <w:br/>
            </w:r>
          </w:p>
        </w:tc>
      </w:tr>
    </w:tbl>
    <w:p>
      <w:pPr>
        <w:pStyle w:val="Normal"/>
        <w:rPr>
          <w:sz w:val="18"/>
          <w:szCs w:val="18"/>
          <w:lang w:val="de-DE"/>
        </w:rPr>
      </w:pPr>
      <w:r>
        <w:rPr>
          <w:sz w:val="18"/>
          <w:szCs w:val="18"/>
          <w:lang w:val="de-DE"/>
        </w:rPr>
        <w:t>***Reviewed by the R&amp;D DEPARTMENT on 14.06.2024***</w:t>
      </w:r>
    </w:p>
    <w:p>
      <w:pPr>
        <w:pStyle w:val="Normal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</w:r>
    </w:p>
    <w:p>
      <w:pPr>
        <w:pStyle w:val="Normal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</w:r>
    </w:p>
    <w:sectPr>
      <w:type w:val="nextPage"/>
      <w:pgSz w:w="11906" w:h="16838"/>
      <w:pgMar w:left="1417" w:right="1417" w:gutter="0" w:header="0" w:top="540" w:footer="0" w:bottom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Times New Roman">
    <w:charset w:val="a2" w:characterSet="windows-1254"/>
    <w:family w:val="roman"/>
    <w:pitch w:val="variable"/>
  </w:font>
  <w:font w:name="Courier New">
    <w:charset w:val="a2" w:characterSet="windows-1254"/>
    <w:family w:val="modern"/>
    <w:pitch w:val="default"/>
  </w:font>
  <w:font w:name="Wingdings">
    <w:charset w:val="02"/>
    <w:family w:val="auto"/>
    <w:pitch w:val="variable"/>
  </w:font>
  <w:font w:name="Arial">
    <w:charset w:val="a2" w:characterSet="windows-1254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Tahoma">
    <w:charset w:val="a2" w:characterSet="windows-1254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3"/>
      <w:numFmt w:val="bullet"/>
      <w:lvlText w:val="-"/>
      <w:lvlJc w:val="start"/>
      <w:pPr>
        <w:tabs>
          <w:tab w:val="num" w:pos="720"/>
        </w:tabs>
        <w:ind w:start="720" w:hanging="360"/>
      </w:pPr>
      <w:rPr>
        <w:rFonts w:ascii="Times New Roman" w:hAnsi="Times New Roman" w:cs="Times New Roman" w:hint="default"/>
        <w:b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de-D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tr-TR" w:bidi="ar-SA" w:eastAsia="zh-CN"/>
    </w:rPr>
  </w:style>
  <w:style w:type="character" w:styleId="WW8Num1z0">
    <w:name w:val="WW8Num1z0"/>
    <w:qFormat/>
    <w:rPr>
      <w:rFonts w:ascii="Times New Roman" w:hAnsi="Times New Roman" w:eastAsia="Times New Roman" w:cs="Times New Roman"/>
      <w:b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2z0">
    <w:name w:val="WW8Num2z0"/>
    <w:qFormat/>
    <w:rPr>
      <w:rFonts w:ascii="Times New Roman" w:hAnsi="Times New Roman" w:eastAsia="Times New Roman" w:cs="Times New Roman"/>
      <w:sz w:val="20"/>
    </w:rPr>
  </w:style>
  <w:style w:type="character" w:styleId="VarsaylanParagrafYazTipi">
    <w:name w:val="Varsayılan Paragraf Yazı Tipi"/>
    <w:qFormat/>
    <w:rPr/>
  </w:style>
  <w:style w:type="character" w:styleId="GvdeMetniChar">
    <w:name w:val="Gövde Metni Char"/>
    <w:qFormat/>
    <w:rPr>
      <w:rFonts w:ascii="Arial" w:hAnsi="Arial" w:cs="Arial"/>
      <w:sz w:val="22"/>
      <w:szCs w:val="22"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jc w:val="both"/>
    </w:pPr>
    <w:rPr>
      <w:rFonts w:ascii="Arial" w:hAnsi="Arial" w:cs="Arial"/>
      <w:sz w:val="22"/>
      <w:szCs w:val="22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Lucida Sans"/>
    </w:rPr>
  </w:style>
  <w:style w:type="paragraph" w:styleId="BalonMetni">
    <w:name w:val="Balon Metni"/>
    <w:basedOn w:val="Normal"/>
    <w:qFormat/>
    <w:pPr/>
    <w:rPr>
      <w:rFonts w:ascii="Tahoma" w:hAnsi="Tahoma" w:cs="Tahoma"/>
      <w:sz w:val="16"/>
      <w:szCs w:val="16"/>
    </w:rPr>
  </w:style>
  <w:style w:type="paragraph" w:styleId="GvdeMetni2">
    <w:name w:val="Gövde Metni 2"/>
    <w:basedOn w:val="Normal"/>
    <w:qFormat/>
    <w:pPr>
      <w:spacing w:lineRule="auto" w:line="480" w:before="0" w:after="120"/>
    </w:pPr>
    <w:rPr>
      <w:lang w:val="en-US"/>
    </w:rPr>
  </w:style>
  <w:style w:type="paragraph" w:styleId="Tabelleninhalt">
    <w:name w:val="Tabelleninhalt"/>
    <w:basedOn w:val="Normal"/>
    <w:qFormat/>
    <w:pPr>
      <w:widowControl w:val="false"/>
      <w:suppressLineNumbers/>
    </w:pPr>
    <w:rPr/>
  </w:style>
  <w:style w:type="paragraph" w:styleId="Tabellenberschrift">
    <w:name w:val="Tabellenüberschrift"/>
    <w:basedOn w:val="Tabelleninhalt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Application>LibreOffice/26.2.3.2$Windows_X86_64 LibreOffice_project/70e089b17412e4cb7773e41413306b17a2328c34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2012-04-30T16:50:00Z</dcterms:created>
  <dc:creator>Notebook</dc:creator>
  <dc:description/>
  <cp:keywords/>
  <dc:language>de-DE</dc:language>
  <cp:lastModifiedBy>Esra Kuşoğlu</cp:lastModifiedBy>
  <cp:lastPrinted>2005-04-27T17:06:00Z</cp:lastPrinted>
  <dcterms:modified xsi:type="dcterms:W3CDTF">2024-06-14T12:35:00Z</dcterms:modified>
  <cp:revision>37</cp:revision>
  <dc:subject/>
  <dc:title>ÖZMER</dc:title>
</cp:coreProperties>
</file>