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start"/>
        <w:tblInd w:w="-9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5"/>
        <w:gridCol w:w="585"/>
        <w:gridCol w:w="4093"/>
        <w:gridCol w:w="709"/>
        <w:gridCol w:w="3118"/>
      </w:tblGrid>
      <w:tr>
        <w:trPr>
          <w:trHeight w:val="705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 xml:space="preserve">PASTE FOR PASTRY AND ICE CREAM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SP-FP-347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sz w:val="18"/>
                <w:szCs w:val="18"/>
                <w:lang w:val="en-US"/>
              </w:rPr>
              <w:t xml:space="preserve">  issue: 01/05/2003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No.: 01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Date: 01.03.2022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Page No.: 1/1</w:t>
            </w:r>
          </w:p>
        </w:tc>
      </w:tr>
      <w:tr>
        <w:trPr>
          <w:trHeight w:val="12899" w:hRule="atLeast"/>
        </w:trPr>
        <w:tc>
          <w:tcPr>
            <w:tcW w:w="113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Product Name                   : BANANA  PASTE  FOR PASTRY AND ICE CREAM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1600 g / Polyethylene 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in general purpose human nutrition, in ice creams, edible ices, pastry dough, creams, jellies, cookie dough, all </w:t>
            </w:r>
          </w:p>
          <w:p>
            <w:pPr>
              <w:pStyle w:val="Normal"/>
              <w:tabs>
                <w:tab w:val="clear" w:pos="708"/>
                <w:tab w:val="left" w:pos="2115" w:leader="none"/>
              </w:tabs>
              <w:rPr/>
            </w:pPr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confectioneries, desserts and light bakery products.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This product is 1/30 concentrated product. 30-70 g is added to 1 kg of ice cream. It can be use in pastry as much as required.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rPr/>
            </w:pPr>
            <w:r>
              <w:rPr>
                <w:b/>
                <w:sz w:val="18"/>
                <w:szCs w:val="18"/>
              </w:rPr>
              <w:t>Shelf life                            :</w:t>
            </w:r>
            <w:r>
              <w:rPr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0" w:after="120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2. PRODUCT INGREDIENTS :</w:t>
            </w:r>
          </w:p>
          <w:tbl>
            <w:tblPr>
              <w:tblW w:w="9214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268"/>
              <w:gridCol w:w="1843"/>
              <w:gridCol w:w="1664"/>
              <w:gridCol w:w="1738"/>
              <w:gridCol w:w="1701"/>
            </w:tblGrid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INGREDIENT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CLASS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EC CODE</w:t>
                  </w:r>
                </w:p>
              </w:tc>
              <w:tc>
                <w:tcPr>
                  <w:tcW w:w="1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MAX.DOSAGE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Sugar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</w:rPr>
                    <w:t>%53,98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Banana  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</w:rPr>
                    <w:t>%35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Water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5 %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Citric Acid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Acidity Regulator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E 330</w:t>
                  </w:r>
                </w:p>
              </w:tc>
              <w:tc>
                <w:tcPr>
                  <w:tcW w:w="1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%3,5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 (banana)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%2</w:t>
                  </w:r>
                </w:p>
              </w:tc>
            </w:tr>
            <w:tr>
              <w:trPr>
                <w:trHeight w:val="81" w:hRule="atLeast"/>
                <w:cantSplit/>
              </w:trPr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Pectin, Carboxy methyl cellulose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Thickener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E 440,E 466</w:t>
                  </w:r>
                </w:p>
              </w:tc>
              <w:tc>
                <w:tcPr>
                  <w:tcW w:w="1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%0,5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</w:rPr>
                    <w:t>Tartrazine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Colorant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E 102</w:t>
                  </w:r>
                </w:p>
              </w:tc>
              <w:tc>
                <w:tcPr>
                  <w:tcW w:w="1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150mg/kg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%0,02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 INFORMATION: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(Energy and Nutrition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lang w:val="en-ZW"/>
              </w:rPr>
              <w:t xml:space="preserve"> Facts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100 g)* ;</w:t>
            </w:r>
          </w:p>
          <w:tbl>
            <w:tblPr>
              <w:tblW w:w="4111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268"/>
              <w:gridCol w:w="1843"/>
            </w:tblGrid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1200 kj / 288 kcal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-of which Saturated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67,2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66,3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0,9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0,7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0,5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0,01 g / 0,025 g</w:t>
                  </w:r>
                </w:p>
              </w:tc>
            </w:tr>
          </w:tbl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bCs/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4.</w:t>
              <w:tab/>
              <w:t>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banana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Homogenously structured with banana  particles.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bCs/>
                <w:sz w:val="18"/>
                <w:szCs w:val="18"/>
                <w:lang w:val="en-US"/>
              </w:rPr>
              <w:t>5.</w:t>
              <w:tab/>
              <w:t>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2,5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Brix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72.0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Zearalenon (ZON)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 w:eastAsia="en-US"/>
              </w:rPr>
              <w:t>7.MICROBIOLOGICAL CHARACTERISTICS:</w:t>
            </w:r>
            <w:r>
              <w:rPr>
                <w:sz w:val="18"/>
                <w:szCs w:val="18"/>
                <w:lang w:val="en-US" w:eastAsia="en-US"/>
              </w:rPr>
              <w:t xml:space="preserve"> </w:t>
            </w:r>
          </w:p>
          <w:tbl>
            <w:tblPr>
              <w:tblW w:w="35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672"/>
              <w:gridCol w:w="2826"/>
              <w:gridCol w:w="2400"/>
            </w:tblGrid>
            <w:tr>
              <w:trPr>
                <w:trHeight w:val="358" w:hRule="atLeast"/>
                <w:cantSplit/>
              </w:trPr>
              <w:tc>
                <w:tcPr>
                  <w:tcW w:w="267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8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4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67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Yeast (kob/g)</w:t>
                  </w:r>
                </w:p>
              </w:tc>
              <w:tc>
                <w:tcPr>
                  <w:tcW w:w="28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4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val="en-US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10.REFERENCES:</w:t>
            </w: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* European Regulation 2073/2005/EC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  <w:p>
            <w:pPr>
              <w:pStyle w:val="Normal"/>
              <w:ind w:firstLine="1152" w:end="0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en-US" w:eastAsia="en-US"/>
              </w:rPr>
            </w:pPr>
            <w:r>
              <w:rPr>
                <w:rFonts w:cs="Times New Roman"/>
                <w:bCs/>
                <w:sz w:val="18"/>
                <w:szCs w:val="18"/>
                <w:lang w:val="en-US" w:eastAsia="en-US"/>
              </w:rPr>
            </w:r>
          </w:p>
        </w:tc>
      </w:tr>
      <w:tr>
        <w:trPr>
          <w:trHeight w:val="158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4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784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4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Manager</w:t>
              <w:br/>
              <w:br/>
            </w:r>
          </w:p>
        </w:tc>
      </w:tr>
    </w:tbl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sectPr>
      <w:type w:val="nextPage"/>
      <w:pgSz w:w="11906" w:h="16838"/>
      <w:pgMar w:left="1417" w:right="1417" w:gutter="0" w:header="0" w:top="54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a2" w:characterSet="windows-1254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tr-TR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  <w:sz w:val="20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Tahoma" w:hAnsi="Tahoma" w:cs="Tahoma"/>
      <w:sz w:val="16"/>
      <w:szCs w:val="16"/>
    </w:rPr>
  </w:style>
  <w:style w:type="paragraph" w:styleId="GvdeMetni2">
    <w:name w:val="Gövde Metni 2"/>
    <w:basedOn w:val="Normal"/>
    <w:qFormat/>
    <w:pPr>
      <w:spacing w:lineRule="auto" w:line="480" w:before="0" w:after="120"/>
    </w:pPr>
    <w:rPr>
      <w:lang w:val="en-U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2012-04-30T16:44:00Z</dcterms:created>
  <dc:creator>Notebook</dc:creator>
  <dc:description/>
  <cp:keywords/>
  <dc:language>de-DE</dc:language>
  <cp:lastModifiedBy>Esra Kuşoğlu</cp:lastModifiedBy>
  <cp:lastPrinted>2016-03-15T10:28:00Z</cp:lastPrinted>
  <dcterms:modified xsi:type="dcterms:W3CDTF">2024-06-14T12:36:00Z</dcterms:modified>
  <cp:revision>33</cp:revision>
  <dc:subject/>
  <dc:title>ÖZMER</dc:title>
</cp:coreProperties>
</file>