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90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2"/>
        <w:gridCol w:w="1134"/>
        <w:gridCol w:w="3827"/>
        <w:gridCol w:w="425"/>
        <w:gridCol w:w="2552"/>
      </w:tblGrid>
      <w:tr>
        <w:trPr/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FLAVORED SYRUP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No: SP-FP-1272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 issue: 14.10.2025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No: 00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-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No: 1/1</w:t>
            </w:r>
          </w:p>
        </w:tc>
      </w:tr>
      <w:tr>
        <w:trPr/>
        <w:tc>
          <w:tcPr>
            <w:tcW w:w="1049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 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Trade Mark                    </w:t>
            </w:r>
            <w:r>
              <w:rPr>
                <w:bCs/>
                <w:sz w:val="18"/>
                <w:szCs w:val="18"/>
              </w:rPr>
              <w:t>: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Product name                 : </w:t>
            </w:r>
            <w:r>
              <w:rPr>
                <w:b/>
                <w:bCs/>
                <w:sz w:val="18"/>
                <w:szCs w:val="18"/>
              </w:rPr>
              <w:t xml:space="preserve">ELDERFLOWER FLAVORED </w:t>
            </w:r>
            <w:r>
              <w:rPr>
                <w:b/>
                <w:sz w:val="18"/>
                <w:szCs w:val="18"/>
              </w:rPr>
              <w:t>SYRUP</w:t>
            </w:r>
            <w:r>
              <w:rPr>
                <w:sz w:val="18"/>
                <w:szCs w:val="18"/>
              </w:rPr>
              <w:t xml:space="preserve"> - PREMIUM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Packing type                   </w:t>
            </w:r>
            <w:r>
              <w:rPr>
                <w:sz w:val="18"/>
                <w:szCs w:val="18"/>
              </w:rPr>
              <w:t xml:space="preserve">: 70 cl  / Glass bottle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:</w:t>
            </w:r>
            <w:r>
              <w:rPr>
                <w:sz w:val="18"/>
                <w:szCs w:val="18"/>
              </w:rPr>
              <w:t xml:space="preserve"> Used  as human nutrition, to prepare alcoholic or  non-alcoholic cocktail  or drunk after  being  diluted.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:</w:t>
            </w:r>
            <w:r>
              <w:rPr>
                <w:sz w:val="18"/>
                <w:szCs w:val="18"/>
              </w:rPr>
              <w:t xml:space="preserve"> Contains extract. Used  to make cocktail or  diluted with water (1/8) to drink directly.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Storing Conditions         :</w:t>
            </w:r>
            <w:r>
              <w:rPr>
                <w:sz w:val="18"/>
                <w:szCs w:val="18"/>
              </w:rPr>
              <w:t xml:space="preserve"> It should be stored in its original packaging, 20-22º C under dry conditions, and direct sunlight should be avoided.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Shelf life                          : </w:t>
            </w:r>
            <w:r>
              <w:rPr>
                <w:sz w:val="18"/>
                <w:szCs w:val="18"/>
              </w:rPr>
              <w:t>The product has a shelf life of  2 years under the described storing conditions and in its closed packaging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9356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43"/>
              <w:gridCol w:w="1593"/>
              <w:gridCol w:w="1701"/>
              <w:gridCol w:w="1560"/>
              <w:gridCol w:w="1559"/>
            </w:tblGrid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 DOSAGE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PERCENTAGE 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62%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36,1%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Natural Flavouring  (Elderflower)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Flavouring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0,88%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Tartaric Acid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334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0,82%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Elderflower Extract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0,15%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0,25 gr/ 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0,025%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Sodium Benzoate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Preservative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211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0,15 gr/lt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0,015%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Amonia Sulfite Caramel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Colorant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150d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0,01%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3.NUTRITIONAL INFORMATION:</w:t>
            </w:r>
            <w:r>
              <w:rPr>
                <w:sz w:val="18"/>
                <w:szCs w:val="18"/>
              </w:rPr>
              <w:t xml:space="preserve">  (Energy and Nutrition Facts 100 ml</w:t>
            </w:r>
            <w:r>
              <w:rPr/>
              <w:t>)*;</w:t>
            </w:r>
          </w:p>
          <w:tbl>
            <w:tblPr>
              <w:tblW w:w="4019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318"/>
              <w:gridCol w:w="1701"/>
            </w:tblGrid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Enerji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/>
                  </w:pPr>
                  <w:r>
                    <w:rPr>
                      <w:sz w:val="18"/>
                      <w:szCs w:val="18"/>
                    </w:rPr>
                    <w:t>1410 kj/337 kcal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Toplam Yağ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Doymuş Yağ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Kolesterol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Toplam karbonhidrat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83,1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Şeker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81,4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Nişasta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Diyet Lifi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Sodyum/ Tuz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0,004 g / 0,01 g</w:t>
                  </w:r>
                </w:p>
              </w:tc>
            </w:tr>
          </w:tbl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</w:rPr>
              <w:t xml:space="preserve">         </w:t>
            </w:r>
            <w:r>
              <w:rPr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4.  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color,  taste and  elderflower flavor.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Homogenized structured. Does not have physically distinct. Does not include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5.  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pH     : </w:t>
            </w:r>
            <w:r>
              <w:rPr>
                <w:sz w:val="18"/>
                <w:szCs w:val="18"/>
              </w:rPr>
              <w:t xml:space="preserve"> 2,7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0.2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Briks :</w:t>
            </w:r>
            <w:r>
              <w:rPr>
                <w:sz w:val="18"/>
                <w:szCs w:val="18"/>
              </w:rPr>
              <w:t xml:space="preserve">  65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shd w:fill="C6D9F1" w:val="clear"/>
              </w:rPr>
              <w:t>7.</w:t>
              <w:tab/>
              <w:t>MICROBIOLOGICAL CHARACTERISTICS:</w:t>
            </w:r>
          </w:p>
          <w:tbl>
            <w:tblPr>
              <w:tblW w:w="330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451"/>
              <w:gridCol w:w="2491"/>
              <w:gridCol w:w="1838"/>
            </w:tblGrid>
            <w:tr>
              <w:trPr>
                <w:trHeight w:val="362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/>
                  </w:pPr>
                  <w:r>
                    <w:rPr>
                      <w:b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188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Salmonella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6579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L.Monocytogenes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11290-1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E.Coli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ISO 16649-2/3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8.ALLERGEN ALERT: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9.GMO DECLARATION: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produced with no GMO.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10.REFERENCES: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in accordance with the law in force;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1333/2008/EC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 xml:space="preserve">* European Regulation 1881/2006/EC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2073/2005/EC</w:t>
            </w:r>
          </w:p>
          <w:p>
            <w:pPr>
              <w:pStyle w:val="Normal"/>
              <w:tabs>
                <w:tab w:val="clear" w:pos="708"/>
                <w:tab w:val="left" w:pos="360" w:leader="none"/>
                <w:tab w:val="left" w:pos="72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fr-FR"/>
              </w:rPr>
              <w:t xml:space="preserve">R&amp;D Manager 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</w:tc>
      </w:tr>
    </w:tbl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sectPr>
      <w:type w:val="nextPage"/>
      <w:pgSz w:w="11906" w:h="16838"/>
      <w:pgMar w:left="1417" w:right="1417" w:gutter="0" w:header="0" w:top="709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Segoe UI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sz w:val="24"/>
      <w:szCs w:val="24"/>
      <w:lang w:val="en-US"/>
    </w:rPr>
  </w:style>
  <w:style w:type="character" w:styleId="BalonMetniChar">
    <w:name w:val="Balon Metni Char"/>
    <w:qFormat/>
    <w:rPr>
      <w:rFonts w:ascii="Segoe UI" w:hAnsi="Segoe UI" w:cs="Segoe UI"/>
      <w:sz w:val="18"/>
      <w:szCs w:val="18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GvdeMetni2">
    <w:name w:val="Gövde Metni 2"/>
    <w:basedOn w:val="Normal"/>
    <w:qFormat/>
    <w:pPr>
      <w:spacing w:lineRule="auto" w:line="360"/>
      <w:jc w:val="both"/>
    </w:pPr>
    <w:rPr>
      <w:color w:val="FF00FF"/>
    </w:rPr>
  </w:style>
  <w:style w:type="paragraph" w:styleId="BalonMetni">
    <w:name w:val="Balon Metni"/>
    <w:basedOn w:val="Normal"/>
    <w:qFormat/>
    <w:pPr/>
    <w:rPr>
      <w:rFonts w:ascii="Segoe UI" w:hAnsi="Segoe UI" w:cs="Segoe UI"/>
      <w:sz w:val="18"/>
      <w:szCs w:val="18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2025-10-14T10:00:00Z</dcterms:created>
  <dc:creator>sevda</dc:creator>
  <dc:description/>
  <cp:keywords/>
  <dc:language>de-DE</dc:language>
  <cp:lastModifiedBy>Gamze Atılgan</cp:lastModifiedBy>
  <cp:lastPrinted>2025-05-27T09:03:00Z</cp:lastPrinted>
  <dcterms:modified xsi:type="dcterms:W3CDTF">2025-10-14T10:12:00Z</dcterms:modified>
  <cp:revision>3</cp:revision>
  <dc:subject/>
  <dc:title> </dc:title>
</cp:coreProperties>
</file>