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0916" w:type="dxa"/>
        <w:jc w:val="start"/>
        <w:tblInd w:w="-74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670"/>
        <w:gridCol w:w="875"/>
        <w:gridCol w:w="3827"/>
        <w:gridCol w:w="447"/>
        <w:gridCol w:w="3097"/>
      </w:tblGrid>
      <w:tr>
        <w:trPr/>
        <w:tc>
          <w:tcPr>
            <w:tcW w:w="26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de-DE" w:eastAsia="de-DE"/>
              </w:rPr>
              <w:drawing>
                <wp:inline distT="0" distB="0" distL="0" distR="0">
                  <wp:extent cx="1314450" cy="466090"/>
                  <wp:effectExtent l="0" t="0" r="0" b="0"/>
                  <wp:docPr id="1" name="Resi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Resim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 l="-33" t="-64" r="-33" b="-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4450" cy="4660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49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  <w:p>
            <w:pPr>
              <w:pStyle w:val="Normal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 </w:t>
            </w:r>
            <w:r>
              <w:rPr>
                <w:b/>
                <w:sz w:val="18"/>
                <w:szCs w:val="18"/>
              </w:rPr>
              <w:t xml:space="preserve">ICE CREAM SAUCE </w:t>
            </w:r>
          </w:p>
          <w:p>
            <w:pPr>
              <w:pStyle w:val="Normal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PRODUCT SPECIFICATION</w:t>
            </w:r>
          </w:p>
          <w:p>
            <w:pPr>
              <w:pStyle w:val="Normal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30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18"/>
                <w:szCs w:val="18"/>
                <w:lang w:val="tr-TR"/>
              </w:rPr>
            </w:pPr>
            <w:r>
              <w:rPr>
                <w:sz w:val="18"/>
                <w:szCs w:val="18"/>
              </w:rPr>
              <w:t>Document No  : SP-FP-397</w:t>
            </w:r>
          </w:p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  <w:r>
              <w:rPr>
                <w:sz w:val="18"/>
                <w:szCs w:val="18"/>
                <w:vertAlign w:val="superscript"/>
              </w:rPr>
              <w:t>st</w:t>
            </w:r>
            <w:r>
              <w:rPr>
                <w:sz w:val="18"/>
                <w:szCs w:val="18"/>
              </w:rPr>
              <w:t xml:space="preserve"> issue: 02.01.2006</w:t>
            </w:r>
          </w:p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Revision No.: 02</w:t>
            </w:r>
          </w:p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Revision Date: 10.08.2021</w:t>
            </w:r>
          </w:p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Page No.: 1/1</w:t>
            </w:r>
          </w:p>
        </w:tc>
      </w:tr>
      <w:tr>
        <w:trPr>
          <w:trHeight w:val="11523" w:hRule="atLeast"/>
        </w:trPr>
        <w:tc>
          <w:tcPr>
            <w:tcW w:w="10916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hd w:fill="C6D9F1" w:val="clear"/>
              <w:tabs>
                <w:tab w:val="clear" w:pos="708"/>
                <w:tab w:val="left" w:pos="360" w:leader="none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1.</w:t>
              <w:tab/>
              <w:t>GENERAL CHARACTERISTICS: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Trade Mark                      :</w:t>
            </w:r>
            <w:r>
              <w:rPr>
                <w:sz w:val="18"/>
                <w:szCs w:val="18"/>
              </w:rPr>
              <w:t xml:space="preserve"> FO FOOD PRODUCTS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Product Name                   : ICE CREAM SAUCE WITH  MILKY CARAMEL  –  MILKY CARAMEL  TOPPING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Packaging Amount/Type :</w:t>
            </w:r>
            <w:r>
              <w:rPr>
                <w:sz w:val="18"/>
                <w:szCs w:val="18"/>
              </w:rPr>
              <w:t xml:space="preserve"> 1 kg  Polyethylene bottle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Shipment                           :</w:t>
            </w:r>
            <w:r>
              <w:rPr>
                <w:sz w:val="18"/>
                <w:szCs w:val="18"/>
              </w:rPr>
              <w:t xml:space="preserve"> Shipped in closed cartoon packaging on lorries with closed containers.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Intended Area of Usage   :</w:t>
            </w:r>
            <w:r>
              <w:rPr>
                <w:sz w:val="18"/>
                <w:szCs w:val="18"/>
              </w:rPr>
              <w:t xml:space="preserve"> Used as sauce in general purpose human nutrition, in all types of ice-cream, pastries and desserts as much as required.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Type of Usage                   :</w:t>
            </w:r>
            <w:r>
              <w:rPr>
                <w:sz w:val="18"/>
                <w:szCs w:val="18"/>
              </w:rPr>
              <w:t xml:space="preserve"> It is applied directly on the products.</w:t>
            </w:r>
          </w:p>
          <w:p>
            <w:pPr>
              <w:pStyle w:val="BodyTex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/>
                <w:sz w:val="18"/>
                <w:szCs w:val="18"/>
              </w:rPr>
              <w:t>Storing Conditions          :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It should be stored in its original packaging, 20-22º C under dry conditions, and direct sunlight should be avoided. </w:t>
            </w:r>
          </w:p>
          <w:p>
            <w:pPr>
              <w:pStyle w:val="BodyText"/>
              <w:jc w:val="start"/>
              <w:rPr/>
            </w:pPr>
            <w:r>
              <w:rPr>
                <w:rFonts w:cs="Times New Roman" w:ascii="Times New Roman" w:hAnsi="Times New Roman"/>
                <w:b/>
                <w:sz w:val="18"/>
                <w:szCs w:val="18"/>
              </w:rPr>
              <w:t>Shelf life                            :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The shelf life under defined storing conditions and in unopened packaging is 3 year.</w:t>
            </w:r>
          </w:p>
          <w:p>
            <w:pPr>
              <w:pStyle w:val="Normal"/>
              <w:shd w:fill="C6D9F1" w:val="clear"/>
              <w:tabs>
                <w:tab w:val="clear" w:pos="708"/>
                <w:tab w:val="left" w:pos="360" w:leader="none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2. PRODUCT INGREDIENTS :</w:t>
            </w:r>
          </w:p>
          <w:tbl>
            <w:tblPr>
              <w:tblW w:w="10065" w:type="dxa"/>
              <w:jc w:val="start"/>
              <w:tblInd w:w="454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3828"/>
              <w:gridCol w:w="1701"/>
              <w:gridCol w:w="1275"/>
              <w:gridCol w:w="1560"/>
              <w:gridCol w:w="1701"/>
            </w:tblGrid>
            <w:tr>
              <w:trPr>
                <w:trHeight w:val="227" w:hRule="exact"/>
              </w:trPr>
              <w:tc>
                <w:tcPr>
                  <w:tcW w:w="382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INGREDIENTS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CLASS</w:t>
                  </w:r>
                </w:p>
              </w:tc>
              <w:tc>
                <w:tcPr>
                  <w:tcW w:w="127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EC CODE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/>
                  </w:pPr>
                  <w:r>
                    <w:rPr>
                      <w:b/>
                      <w:sz w:val="18"/>
                      <w:szCs w:val="18"/>
                    </w:rPr>
                    <w:t>MAX.DOSAGE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PERCENTAGE</w:t>
                  </w:r>
                </w:p>
              </w:tc>
            </w:tr>
            <w:tr>
              <w:trPr>
                <w:trHeight w:val="631" w:hRule="exact"/>
              </w:trPr>
              <w:tc>
                <w:tcPr>
                  <w:tcW w:w="382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Milky Caramel Sauce (%58)</w:t>
                  </w:r>
                </w:p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[ Sugar, Butter, Skimmed Milk Powder, Water,]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27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/>
                  </w:pPr>
                  <w:r>
                    <w:rPr>
                      <w:sz w:val="18"/>
                      <w:szCs w:val="18"/>
                    </w:rPr>
                    <w:t>58%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382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Glucose Syrup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27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/>
                  </w:pPr>
                  <w:r>
                    <w:rPr>
                      <w:sz w:val="18"/>
                      <w:szCs w:val="18"/>
                    </w:rPr>
                    <w:t>30%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382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Water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27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11,4%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382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Trisodium citrate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Acidity Regulator</w:t>
                  </w:r>
                </w:p>
              </w:tc>
              <w:tc>
                <w:tcPr>
                  <w:tcW w:w="127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E 330iii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QS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/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0,1%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382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Salt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27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0,1%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382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Soy lecithin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Emülsifier</w:t>
                  </w:r>
                </w:p>
              </w:tc>
              <w:tc>
                <w:tcPr>
                  <w:tcW w:w="127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E322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0,1%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382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Flavoring (vanilla)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Flavoring</w:t>
                  </w:r>
                </w:p>
              </w:tc>
              <w:tc>
                <w:tcPr>
                  <w:tcW w:w="127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0,2%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382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Potassium Sorbate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Preservative</w:t>
                  </w:r>
                </w:p>
              </w:tc>
              <w:tc>
                <w:tcPr>
                  <w:tcW w:w="127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E 202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1g/kg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0,1%</w:t>
                  </w:r>
                </w:p>
              </w:tc>
            </w:tr>
          </w:tbl>
          <w:p>
            <w:pPr>
              <w:pStyle w:val="BodyText"/>
              <w:shd w:fill="C6D9F1" w:val="clea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>3. NUTRITIONAL INFORMATION:  (Energy and Nutrition Facts 100 g)*;</w:t>
            </w:r>
          </w:p>
          <w:tbl>
            <w:tblPr>
              <w:tblW w:w="4395" w:type="dxa"/>
              <w:jc w:val="start"/>
              <w:tblInd w:w="492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2656"/>
              <w:gridCol w:w="1739"/>
            </w:tblGrid>
            <w:tr>
              <w:trPr>
                <w:trHeight w:val="227" w:hRule="exact"/>
              </w:trPr>
              <w:tc>
                <w:tcPr>
                  <w:tcW w:w="265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Energy</w:t>
                  </w:r>
                </w:p>
              </w:tc>
              <w:tc>
                <w:tcPr>
                  <w:tcW w:w="173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/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1340kj/320 kcal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265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Total Fat</w:t>
                  </w:r>
                </w:p>
              </w:tc>
              <w:tc>
                <w:tcPr>
                  <w:tcW w:w="173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5,6 g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265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-Saturated</w:t>
                  </w:r>
                </w:p>
              </w:tc>
              <w:tc>
                <w:tcPr>
                  <w:tcW w:w="173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3,6 g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265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Cholesterol</w:t>
                  </w:r>
                </w:p>
              </w:tc>
              <w:tc>
                <w:tcPr>
                  <w:tcW w:w="173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0,0 g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265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Total Carbohydrate</w:t>
                  </w:r>
                </w:p>
              </w:tc>
              <w:tc>
                <w:tcPr>
                  <w:tcW w:w="173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62,9 g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265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Sugar</w:t>
                  </w:r>
                </w:p>
              </w:tc>
              <w:tc>
                <w:tcPr>
                  <w:tcW w:w="173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48,7 g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265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Starch</w:t>
                  </w:r>
                </w:p>
              </w:tc>
              <w:tc>
                <w:tcPr>
                  <w:tcW w:w="173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9,3 g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265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Dietary Fibre</w:t>
                  </w:r>
                </w:p>
              </w:tc>
              <w:tc>
                <w:tcPr>
                  <w:tcW w:w="173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0,0 g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265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Protein</w:t>
                  </w:r>
                </w:p>
              </w:tc>
              <w:tc>
                <w:tcPr>
                  <w:tcW w:w="173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3,6 g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265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Sodium/salt</w:t>
                  </w:r>
                </w:p>
              </w:tc>
              <w:tc>
                <w:tcPr>
                  <w:tcW w:w="173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0,3 g/ 0,8 g</w:t>
                  </w:r>
                </w:p>
              </w:tc>
            </w:tr>
          </w:tbl>
          <w:p>
            <w:pPr>
              <w:pStyle w:val="BodyTex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       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*( According to European Regulation  90/496/CE and subsequent modifications)</w:t>
            </w:r>
          </w:p>
          <w:p>
            <w:pPr>
              <w:pStyle w:val="Normal"/>
              <w:shd w:fill="C6D9F1" w:val="clear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4.PHYSICAL CHARACTERISTICS: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Color/Taste/Odor:</w:t>
            </w:r>
            <w:r>
              <w:rPr>
                <w:sz w:val="18"/>
                <w:szCs w:val="18"/>
              </w:rPr>
              <w:t xml:space="preserve"> It has authentic milky caramel color, taste and odor.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Appearance          :</w:t>
            </w:r>
            <w:r>
              <w:rPr>
                <w:sz w:val="18"/>
                <w:szCs w:val="18"/>
              </w:rPr>
              <w:t xml:space="preserve"> Homogenously structured. Does not have physically distinct. It does not contain foreign materials.</w:t>
            </w:r>
          </w:p>
          <w:p>
            <w:pPr>
              <w:pStyle w:val="Normal"/>
              <w:shd w:fill="C6D9F1" w:val="clear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5.CHEMICAL CHARACTERISTICS:</w:t>
            </w:r>
          </w:p>
          <w:p>
            <w:pPr>
              <w:pStyle w:val="BodyText"/>
              <w:numPr>
                <w:ilvl w:val="0"/>
                <w:numId w:val="1"/>
              </w:numPr>
              <w:ind w:hanging="288" w:start="720" w:end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>pH   :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6.0 </w:t>
            </w:r>
            <w:r>
              <w:rPr>
                <w:rFonts w:eastAsia="Symbol" w:cs="Symbol" w:ascii="Symbol" w:hAnsi="Symbol"/>
                <w:sz w:val="18"/>
                <w:szCs w:val="18"/>
              </w:rPr>
              <w:sym w:font="Symbol" w:char="f0b1"/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0.5                      </w:t>
            </w:r>
            <w:r>
              <w:rPr>
                <w:rFonts w:cs="Times New Roman" w:ascii="Times New Roman" w:hAnsi="Times New Roman"/>
                <w:b/>
                <w:sz w:val="18"/>
                <w:szCs w:val="18"/>
              </w:rPr>
              <w:t xml:space="preserve">Brix 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: 74 </w:t>
            </w:r>
            <w:r>
              <w:rPr>
                <w:rFonts w:eastAsia="Symbol" w:cs="Symbol" w:ascii="Symbol" w:hAnsi="Symbol"/>
                <w:sz w:val="18"/>
                <w:szCs w:val="18"/>
              </w:rPr>
              <w:sym w:font="Symbol" w:char="f0b1"/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2.0</w:t>
            </w:r>
          </w:p>
          <w:p>
            <w:pPr>
              <w:pStyle w:val="Normal"/>
              <w:shd w:fill="BDD6EE" w:val="clear"/>
              <w:tabs>
                <w:tab w:val="clear" w:pos="708"/>
                <w:tab w:val="left" w:pos="360" w:leader="none"/>
                <w:tab w:val="left" w:pos="720" w:leader="none"/>
              </w:tabs>
              <w:rPr>
                <w:b/>
                <w:bCs/>
                <w:sz w:val="18"/>
                <w:szCs w:val="18"/>
                <w:lang w:val="tr-TR" w:eastAsia="tr-TR"/>
              </w:rPr>
            </w:pPr>
            <w:r>
              <w:rPr>
                <w:b/>
                <w:bCs/>
                <w:sz w:val="18"/>
                <w:szCs w:val="18"/>
                <w:lang w:val="tr-TR" w:eastAsia="tr-TR"/>
              </w:rPr>
              <w:t>6.  CONTAMINANTS  :</w:t>
            </w:r>
          </w:p>
          <w:tbl>
            <w:tblPr>
              <w:tblW w:w="8893" w:type="dxa"/>
              <w:jc w:val="start"/>
              <w:tblInd w:w="492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7050"/>
              <w:gridCol w:w="1843"/>
            </w:tblGrid>
            <w:tr>
              <w:trPr>
                <w:trHeight w:val="227" w:hRule="exact"/>
              </w:trPr>
              <w:tc>
                <w:tcPr>
                  <w:tcW w:w="705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rPr/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Aflatoxin B1 (ppb)</w:t>
                  </w:r>
                </w:p>
              </w:tc>
              <w:tc>
                <w:tcPr>
                  <w:tcW w:w="18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Max.2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705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Aflatoxin B1+B2+G1+G2 (ppb)</w:t>
                  </w:r>
                </w:p>
              </w:tc>
              <w:tc>
                <w:tcPr>
                  <w:tcW w:w="18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Max. 4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705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Aflatoxin M1 (ppb)</w:t>
                  </w:r>
                </w:p>
              </w:tc>
              <w:tc>
                <w:tcPr>
                  <w:tcW w:w="18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Max. 0,05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705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Okratoxin A (ppb)</w:t>
                  </w:r>
                </w:p>
              </w:tc>
              <w:tc>
                <w:tcPr>
                  <w:tcW w:w="18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Max. 5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705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Fumonisin (ppb)</w:t>
                  </w:r>
                </w:p>
              </w:tc>
              <w:tc>
                <w:tcPr>
                  <w:tcW w:w="18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Max.1000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705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Sum of Deoxins (WHO/ PCDD/ F-TEQ) (pg/g yağ)</w:t>
                  </w:r>
                </w:p>
              </w:tc>
              <w:tc>
                <w:tcPr>
                  <w:tcW w:w="18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Max 0,75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705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autoSpaceDE w:val="false"/>
                    <w:rPr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202124"/>
                      <w:sz w:val="18"/>
                      <w:szCs w:val="18"/>
                      <w:lang w:val="en"/>
                    </w:rPr>
                    <w:t xml:space="preserve">Dioxins and dioxin-like Sum of PCBs </w:t>
                  </w:r>
                  <w:r>
                    <w:rPr>
                      <w:bCs/>
                      <w:color w:val="000000"/>
                      <w:sz w:val="18"/>
                      <w:szCs w:val="18"/>
                    </w:rPr>
                    <w:t xml:space="preserve">(WHO/PCDD/FPCB-TEQ) </w:t>
                  </w:r>
                  <w:r>
                    <w:rPr>
                      <w:sz w:val="18"/>
                      <w:szCs w:val="18"/>
                    </w:rPr>
                    <w:t>(pg/g  yağ)</w:t>
                  </w:r>
                </w:p>
              </w:tc>
              <w:tc>
                <w:tcPr>
                  <w:tcW w:w="18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jc w:val="center"/>
                    <w:rPr>
                      <w:sz w:val="18"/>
                      <w:szCs w:val="18"/>
                      <w:lang w:eastAsia="tr-TR"/>
                    </w:rPr>
                  </w:pPr>
                  <w:r>
                    <w:rPr>
                      <w:sz w:val="18"/>
                      <w:szCs w:val="18"/>
                      <w:lang w:eastAsia="tr-TR"/>
                    </w:rPr>
                    <w:t>Max. 1,25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705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autoSpaceDE w:val="false"/>
                    <w:rPr>
                      <w:bCs/>
                      <w:sz w:val="18"/>
                      <w:szCs w:val="18"/>
                    </w:rPr>
                  </w:pPr>
                  <w:r>
                    <w:rPr>
                      <w:bCs/>
                      <w:sz w:val="18"/>
                      <w:szCs w:val="18"/>
                    </w:rPr>
                    <w:t xml:space="preserve">Sum of PCB28, PCB52,PCB101, PCB138,PCB153 ve PCB180 (ICES </w:t>
                  </w:r>
                  <w:r>
                    <w:rPr>
                      <w:rFonts w:eastAsia="Times New Roman,Bold;MS Mincho"/>
                      <w:bCs/>
                      <w:sz w:val="18"/>
                      <w:szCs w:val="18"/>
                    </w:rPr>
                    <w:t>–6) (pg/g yağ)</w:t>
                  </w:r>
                </w:p>
              </w:tc>
              <w:tc>
                <w:tcPr>
                  <w:tcW w:w="18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jc w:val="center"/>
                    <w:rPr>
                      <w:sz w:val="18"/>
                      <w:szCs w:val="18"/>
                      <w:lang w:eastAsia="tr-TR"/>
                    </w:rPr>
                  </w:pPr>
                  <w:r>
                    <w:rPr>
                      <w:sz w:val="18"/>
                      <w:szCs w:val="18"/>
                      <w:lang w:eastAsia="tr-TR"/>
                    </w:rPr>
                    <w:t>Max. 40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705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Cadmium (Cd) (mg/kg)</w:t>
                  </w:r>
                </w:p>
              </w:tc>
              <w:tc>
                <w:tcPr>
                  <w:tcW w:w="18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Max. 1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705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Arsenic (As) (mg/kg)</w:t>
                  </w:r>
                </w:p>
              </w:tc>
              <w:tc>
                <w:tcPr>
                  <w:tcW w:w="18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Max.3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705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Mercury (Hg) (mg/kg)</w:t>
                  </w:r>
                </w:p>
              </w:tc>
              <w:tc>
                <w:tcPr>
                  <w:tcW w:w="18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Max. 1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705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Lead ( Pb) (mg/kg)</w:t>
                  </w:r>
                </w:p>
              </w:tc>
              <w:tc>
                <w:tcPr>
                  <w:tcW w:w="18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Max. 10</w:t>
                  </w:r>
                </w:p>
              </w:tc>
            </w:tr>
          </w:tbl>
          <w:p>
            <w:pPr>
              <w:pStyle w:val="Normal"/>
              <w:shd w:fill="C6D9F1" w:val="clear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7.</w:t>
            </w:r>
            <w:r>
              <w:rPr/>
              <w:t>MICROBIOLOGICAL CHARACTERISTICS:</w:t>
            </w:r>
          </w:p>
          <w:tbl>
            <w:tblPr>
              <w:tblW w:w="3650" w:type="pct"/>
              <w:jc w:val="start"/>
              <w:tblInd w:w="465" w:type="dxa"/>
              <w:tblLayout w:type="fixed"/>
              <w:tblCellMar>
                <w:top w:w="0" w:type="dxa"/>
                <w:start w:w="70" w:type="dxa"/>
                <w:bottom w:w="0" w:type="dxa"/>
                <w:end w:w="70" w:type="dxa"/>
              </w:tblCellMar>
            </w:tblPr>
            <w:tblGrid>
              <w:gridCol w:w="2609"/>
              <w:gridCol w:w="2672"/>
              <w:gridCol w:w="2530"/>
            </w:tblGrid>
            <w:tr>
              <w:trPr>
                <w:trHeight w:val="214" w:hRule="atLeast"/>
                <w:cantSplit/>
              </w:trPr>
              <w:tc>
                <w:tcPr>
                  <w:tcW w:w="260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/>
                  </w:pPr>
                  <w:r>
                    <w:rPr>
                      <w:rFonts w:cs="Times New Roman" w:ascii="Times New Roman" w:hAnsi="Times New Roman"/>
                      <w:b/>
                      <w:bCs/>
                      <w:sz w:val="18"/>
                      <w:szCs w:val="18"/>
                    </w:rPr>
                    <w:t>MICROORGANISM NAME</w:t>
                  </w:r>
                </w:p>
              </w:tc>
              <w:tc>
                <w:tcPr>
                  <w:tcW w:w="267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/>
                      <w:bCs/>
                      <w:sz w:val="18"/>
                      <w:szCs w:val="18"/>
                    </w:rPr>
                    <w:t>MICROBIOLOGICAL VALUE</w:t>
                  </w:r>
                </w:p>
              </w:tc>
              <w:tc>
                <w:tcPr>
                  <w:tcW w:w="253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/>
                      <w:bCs/>
                      <w:sz w:val="18"/>
                      <w:szCs w:val="18"/>
                    </w:rPr>
                    <w:t>ANALYSIS METHOD</w:t>
                  </w:r>
                </w:p>
              </w:tc>
            </w:tr>
            <w:tr>
              <w:trPr>
                <w:trHeight w:val="383" w:hRule="atLeast"/>
                <w:cantSplit/>
              </w:trPr>
              <w:tc>
                <w:tcPr>
                  <w:tcW w:w="260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Mould &amp; Yeast (kob/g)</w:t>
                  </w:r>
                </w:p>
              </w:tc>
              <w:tc>
                <w:tcPr>
                  <w:tcW w:w="267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/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 xml:space="preserve">1.0 </w:t>
                  </w:r>
                  <w:r>
                    <w:rPr>
                      <w:rFonts w:eastAsia="Symbol" w:cs="Symbol" w:ascii="Symbol" w:hAnsi="Symbol"/>
                      <w:sz w:val="18"/>
                      <w:szCs w:val="18"/>
                    </w:rPr>
                    <w:sym w:font="Symbol" w:char="f0b4"/>
                  </w: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 xml:space="preserve"> 10²</w:t>
                  </w:r>
                </w:p>
              </w:tc>
              <w:tc>
                <w:tcPr>
                  <w:tcW w:w="253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ISO 7954 – ISO 21527 -1 /2</w:t>
                  </w:r>
                </w:p>
              </w:tc>
            </w:tr>
          </w:tbl>
          <w:p>
            <w:pPr>
              <w:pStyle w:val="BodyText"/>
              <w:shd w:fill="C6D9F1" w:val="clear"/>
              <w:rPr/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  <w:shd w:fill="C6D9F1" w:val="clear"/>
              </w:rPr>
              <w:t>8.ALLERGEN ALERT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  <w:shd w:fill="C6D9F1" w:val="clear"/>
              </w:rPr>
              <w:t>: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</w:t>
            </w:r>
          </w:p>
          <w:p>
            <w:pPr>
              <w:pStyle w:val="BodyText"/>
              <w:rPr/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Contains milk powder and soy lecithin. (According to European Regulation 2000/13/EC and subsequent modifications)</w:t>
            </w:r>
          </w:p>
          <w:p>
            <w:pPr>
              <w:pStyle w:val="BodyText"/>
              <w:shd w:fill="C6D9F1" w:val="clear"/>
              <w:rPr/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  <w:shd w:fill="C6D9F1" w:val="clear"/>
              </w:rPr>
              <w:t>9.GMO DECLARATION: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</w:t>
            </w:r>
          </w:p>
          <w:p>
            <w:pPr>
              <w:pStyle w:val="BodyTex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OZMER PASTACILIK A.S. declares under its responsibility that the product of this chart is produced with no GMO.</w:t>
            </w:r>
          </w:p>
          <w:p>
            <w:pPr>
              <w:pStyle w:val="BodyTex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( According to European Regulation 2003/1829/CE,2003/1830/CE and subsequent modification. </w:t>
            </w:r>
          </w:p>
          <w:p>
            <w:pPr>
              <w:pStyle w:val="BodyText"/>
              <w:shd w:fill="BDD6EE" w:val="clea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>10.REFERENCES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: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</w:t>
            </w:r>
          </w:p>
          <w:p>
            <w:pPr>
              <w:pStyle w:val="BodyText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OZMER PASTACILIK A.S. declares under its responsibility that the product of this chart is in accordance with the law in force;</w:t>
            </w:r>
          </w:p>
          <w:p>
            <w:pPr>
              <w:pStyle w:val="BodyTex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  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* European Regulation 1333/2008/EC</w:t>
            </w:r>
          </w:p>
          <w:p>
            <w:pPr>
              <w:pStyle w:val="BodyText"/>
              <w:rPr/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  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*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European Regulation 1881/2006/EC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</w:t>
            </w:r>
          </w:p>
          <w:p>
            <w:pPr>
              <w:pStyle w:val="BodyText"/>
              <w:rPr/>
            </w:pP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  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* European Regulation 2073/2005/EC</w:t>
            </w:r>
          </w:p>
          <w:p>
            <w:pPr>
              <w:pStyle w:val="BodyTex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  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* European Regulation 396/2005/EC and subsequent modifications.</w:t>
            </w:r>
          </w:p>
        </w:tc>
      </w:tr>
      <w:tr>
        <w:trPr/>
        <w:tc>
          <w:tcPr>
            <w:tcW w:w="354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PREPARED BY:</w:t>
            </w:r>
          </w:p>
        </w:tc>
        <w:tc>
          <w:tcPr>
            <w:tcW w:w="38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REVIEWED BY:</w:t>
            </w:r>
          </w:p>
        </w:tc>
        <w:tc>
          <w:tcPr>
            <w:tcW w:w="354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APPROVED BY:</w:t>
            </w:r>
          </w:p>
        </w:tc>
      </w:tr>
      <w:tr>
        <w:trPr>
          <w:trHeight w:val="70" w:hRule="atLeast"/>
        </w:trPr>
        <w:tc>
          <w:tcPr>
            <w:tcW w:w="354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  <w:lang w:val="fr-FR"/>
              </w:rPr>
            </w:pPr>
            <w:r>
              <w:rPr>
                <w:sz w:val="18"/>
                <w:szCs w:val="18"/>
                <w:lang w:val="fr-FR"/>
              </w:rPr>
              <w:t>R&amp;D Manager</w:t>
            </w:r>
          </w:p>
        </w:tc>
        <w:tc>
          <w:tcPr>
            <w:tcW w:w="38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Quality Management  Manager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354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sz w:val="18"/>
                <w:szCs w:val="18"/>
                <w:lang w:val="de-DE"/>
              </w:rPr>
              <w:t>General   Manager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  <w:lang w:val="de-DE"/>
              </w:rPr>
            </w:pPr>
            <w:r>
              <w:rPr>
                <w:sz w:val="18"/>
                <w:szCs w:val="18"/>
                <w:lang w:val="de-DE"/>
              </w:rPr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  <w:lang w:val="de-DE"/>
              </w:rPr>
            </w:pPr>
            <w:r>
              <w:rPr>
                <w:sz w:val="18"/>
                <w:szCs w:val="18"/>
                <w:lang w:val="de-DE"/>
              </w:rPr>
              <w:t xml:space="preserve"> </w:t>
            </w:r>
          </w:p>
        </w:tc>
      </w:tr>
    </w:tbl>
    <w:p>
      <w:pPr>
        <w:pStyle w:val="Normal"/>
        <w:rPr>
          <w:sz w:val="18"/>
          <w:szCs w:val="18"/>
          <w:lang w:val="de-DE" w:eastAsia="tr-TR"/>
        </w:rPr>
      </w:pPr>
      <w:r>
        <w:rPr>
          <w:sz w:val="18"/>
          <w:szCs w:val="18"/>
          <w:lang w:val="de-DE"/>
        </w:rPr>
        <w:t>***Reviewed by the R&amp;D DEPARTMENT on 14.06.2024***</w:t>
      </w:r>
    </w:p>
    <w:p>
      <w:pPr>
        <w:pStyle w:val="Normal"/>
        <w:rPr>
          <w:sz w:val="18"/>
          <w:szCs w:val="18"/>
          <w:lang w:val="de-DE" w:eastAsia="tr-TR"/>
        </w:rPr>
      </w:pPr>
      <w:r>
        <w:rPr>
          <w:sz w:val="18"/>
          <w:szCs w:val="18"/>
          <w:lang w:val="de-DE" w:eastAsia="tr-TR"/>
        </w:rPr>
      </w:r>
    </w:p>
    <w:sectPr>
      <w:type w:val="nextPage"/>
      <w:pgSz w:w="11906" w:h="16838"/>
      <w:pgMar w:left="1417" w:right="1417" w:gutter="0" w:header="0" w:top="567" w:footer="0" w:bottom="142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Times New Roman">
    <w:charset w:val="a2" w:characterSet="windows-1254"/>
    <w:family w:val="roman"/>
    <w:pitch w:val="variable"/>
  </w:font>
  <w:font w:name="Courier New">
    <w:charset w:val="a2" w:characterSet="windows-1254"/>
    <w:family w:val="modern"/>
    <w:pitch w:val="default"/>
  </w:font>
  <w:font w:name="Wingdings">
    <w:charset w:val="02"/>
    <w:family w:val="auto"/>
    <w:pitch w:val="variable"/>
  </w:font>
  <w:font w:name="Arial">
    <w:charset w:val="a2" w:characterSet="windows-1254"/>
    <w:family w:val="swiss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3"/>
      <w:numFmt w:val="bullet"/>
      <w:lvlText w:val="-"/>
      <w:lvlJc w:val="start"/>
      <w:pPr>
        <w:tabs>
          <w:tab w:val="num" w:pos="708"/>
        </w:tabs>
        <w:ind w:start="720" w:hanging="360"/>
      </w:pPr>
      <w:rPr>
        <w:rFonts w:ascii="Times New Roman" w:hAnsi="Times New Roman" w:cs="Times New Roman" w:hint="default"/>
        <w:b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de-DE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WW8Num1z0">
    <w:name w:val="WW8Num1z0"/>
    <w:qFormat/>
    <w:rPr>
      <w:rFonts w:ascii="Times New Roman" w:hAnsi="Times New Roman" w:eastAsia="Times New Roman" w:cs="Times New Roman"/>
      <w:b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1z3">
    <w:name w:val="WW8Num1z3"/>
    <w:qFormat/>
    <w:rPr>
      <w:rFonts w:ascii="Symbol" w:hAnsi="Symbol" w:cs="Symbol"/>
    </w:rPr>
  </w:style>
  <w:style w:type="character" w:styleId="WW8Num2z0">
    <w:name w:val="WW8Num2z0"/>
    <w:qFormat/>
    <w:rPr>
      <w:rFonts w:ascii="Times New Roman" w:hAnsi="Times New Roman" w:eastAsia="Times New Roman" w:cs="Times New Roman"/>
      <w:b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2z3">
    <w:name w:val="WW8Num2z3"/>
    <w:qFormat/>
    <w:rPr>
      <w:rFonts w:ascii="Symbol" w:hAnsi="Symbol" w:cs="Symbol"/>
    </w:rPr>
  </w:style>
  <w:style w:type="character" w:styleId="VarsaylanParagrafYazTipi">
    <w:name w:val="Varsayılan Paragraf Yazı Tipi"/>
    <w:qFormat/>
    <w:rPr/>
  </w:style>
  <w:style w:type="character" w:styleId="GvdeMetniChar">
    <w:name w:val="Gövde Metni Char"/>
    <w:qFormat/>
    <w:rPr>
      <w:rFonts w:ascii="Arial" w:hAnsi="Arial" w:cs="Arial"/>
      <w:sz w:val="22"/>
      <w:szCs w:val="22"/>
      <w:lang w:val="en-US"/>
    </w:rPr>
  </w:style>
  <w:style w:type="character" w:styleId="HTMLncedenBiimlendirilmiChar">
    <w:name w:val="HTML Önceden Biçimlendirilmiş Char"/>
    <w:qFormat/>
    <w:rPr>
      <w:rFonts w:ascii="Courier New" w:hAnsi="Courier New" w:cs="Courier New"/>
    </w:rPr>
  </w:style>
  <w:style w:type="paragraph" w:styleId="berschrift">
    <w:name w:val="Überschrift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jc w:val="both"/>
    </w:pPr>
    <w:rPr>
      <w:rFonts w:ascii="Arial" w:hAnsi="Arial" w:cs="Arial"/>
      <w:sz w:val="22"/>
      <w:szCs w:val="22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Verzeichnis">
    <w:name w:val="Verzeichnis"/>
    <w:basedOn w:val="Normal"/>
    <w:qFormat/>
    <w:pPr>
      <w:suppressLineNumbers/>
    </w:pPr>
    <w:rPr>
      <w:rFonts w:cs="Lucida Sans"/>
    </w:rPr>
  </w:style>
  <w:style w:type="paragraph" w:styleId="HTMLncedenBiimlendirilmi">
    <w:name w:val="HTML Önceden Biçimlendirilmiş"/>
    <w:basedOn w:val="Normal"/>
    <w:qFormat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</w:pPr>
    <w:rPr>
      <w:rFonts w:ascii="Courier New" w:hAnsi="Courier New" w:cs="Courier New"/>
      <w:sz w:val="20"/>
      <w:szCs w:val="20"/>
      <w:lang w:val="tr-TR"/>
    </w:rPr>
  </w:style>
  <w:style w:type="paragraph" w:styleId="Tabelleninhalt">
    <w:name w:val="Tabelleninhalt"/>
    <w:basedOn w:val="Normal"/>
    <w:qFormat/>
    <w:pPr>
      <w:widowControl w:val="false"/>
      <w:suppressLineNumbers/>
    </w:pPr>
    <w:rPr/>
  </w:style>
  <w:style w:type="paragraph" w:styleId="Tabellenberschrift">
    <w:name w:val="Tabellenüberschrift"/>
    <w:basedOn w:val="Tabelleninhalt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Application>LibreOffice/26.2.3.2$Windows_X86_64 LibreOffice_project/70e089b17412e4cb7773e41413306b17a2328c34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2010-02-22T12:24:00Z</dcterms:created>
  <dc:creator>sevda</dc:creator>
  <dc:description/>
  <cp:keywords/>
  <dc:language>de-DE</dc:language>
  <cp:lastModifiedBy>Esra Kuşoğlu</cp:lastModifiedBy>
  <dcterms:modified xsi:type="dcterms:W3CDTF">2024-06-14T11:19:00Z</dcterms:modified>
  <cp:revision>40</cp:revision>
  <dc:subject/>
  <dc:title> </dc:title>
</cp:coreProperties>
</file>