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21"/>
        <w:gridCol w:w="1099"/>
        <w:gridCol w:w="3810"/>
        <w:gridCol w:w="708"/>
        <w:gridCol w:w="3402"/>
      </w:tblGrid>
      <w:tr>
        <w:trPr>
          <w:trHeight w:val="980" w:hRule="atLeast"/>
        </w:trPr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SP-FP-361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04.08.2016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02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09.12.2022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Trade Mark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Name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  <w:r>
              <w:rPr>
                <w:b/>
                <w:sz w:val="18"/>
                <w:szCs w:val="18"/>
                <w:lang w:val="en-US" w:eastAsia="en-US"/>
              </w:rPr>
              <w:t>COFFEE  PASTE  FOR PASTRY AND ICE CREAM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Packaging Amount/Type :</w:t>
            </w:r>
            <w:r>
              <w:rPr>
                <w:sz w:val="18"/>
                <w:szCs w:val="18"/>
                <w:lang w:val="en-US" w:eastAsia="en-US"/>
              </w:rPr>
              <w:t xml:space="preserve"> 1600 g / Polyethylene 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Shipment     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Intended Area of Usage   :</w:t>
            </w:r>
            <w:r>
              <w:rPr>
                <w:sz w:val="18"/>
                <w:szCs w:val="18"/>
                <w:lang w:val="en-US" w:eastAsia="en-US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 xml:space="preserve">                                              </w:t>
            </w:r>
            <w:r>
              <w:rPr>
                <w:sz w:val="18"/>
                <w:szCs w:val="18"/>
                <w:lang w:val="en-US" w:eastAsia="en-US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Type of Usage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Storing Conditions           :</w:t>
            </w:r>
            <w:r>
              <w:rPr>
                <w:sz w:val="18"/>
                <w:szCs w:val="18"/>
                <w:lang w:val="en-US" w:eastAsia="en-US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Shelf life      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10081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15"/>
              <w:gridCol w:w="1947"/>
              <w:gridCol w:w="1833"/>
              <w:gridCol w:w="1664"/>
              <w:gridCol w:w="1722"/>
            </w:tblGrid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Glucose Syrup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30 %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Sugar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24 %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Water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14,8 %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 xml:space="preserve">Plain caramel  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 xml:space="preserve">Colorant 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E150a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 xml:space="preserve">QS 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13,5 %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Coffee extract 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6,5 % 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Modified corn starch 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6,5 %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Flavoring( coffee)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4,5 %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Citric Acid</w:t>
                  </w:r>
                </w:p>
              </w:tc>
              <w:tc>
                <w:tcPr>
                  <w:tcW w:w="1947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Acidity Regulator</w:t>
                  </w:r>
                </w:p>
              </w:tc>
              <w:tc>
                <w:tcPr>
                  <w:tcW w:w="183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330</w:t>
                  </w:r>
                </w:p>
              </w:tc>
              <w:tc>
                <w:tcPr>
                  <w:tcW w:w="166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2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0,2 %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* Contains 116 mg  cafein in 100 g product.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 Facts 100 g)*;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843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1210 kj/289 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67,9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39,6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8,3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0,5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0,052 g / 0,13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</w:t>
              <w:tab/>
              <w:t>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Color/Taste/Odor:</w:t>
            </w:r>
            <w:r>
              <w:rPr>
                <w:sz w:val="18"/>
                <w:szCs w:val="18"/>
              </w:rPr>
              <w:t xml:space="preserve"> It has authentic coffee 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:</w:t>
            </w:r>
            <w:r>
              <w:rPr>
                <w:sz w:val="18"/>
                <w:szCs w:val="18"/>
              </w:rPr>
              <w:t xml:space="preserve"> Homogenously structured 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</w:t>
              <w:tab/>
              <w:t>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pH  :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5,0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72,0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rPr/>
            </w:pPr>
            <w:r>
              <w:rPr/>
              <w:t>6. CONTAMINANTS:</w:t>
            </w:r>
          </w:p>
          <w:tbl>
            <w:tblPr>
              <w:tblW w:w="5311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610"/>
              <w:gridCol w:w="1701"/>
            </w:tblGrid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</w:t>
              <w:tab/>
              <w:t>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35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47"/>
              <w:gridCol w:w="2799"/>
              <w:gridCol w:w="2340"/>
            </w:tblGrid>
            <w:tr>
              <w:trPr>
                <w:trHeight w:val="286" w:hRule="atLeast"/>
                <w:cantSplit/>
              </w:trPr>
              <w:tc>
                <w:tcPr>
                  <w:tcW w:w="2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7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454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  <w:br/>
            </w:r>
          </w:p>
        </w:tc>
      </w:tr>
    </w:tbl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54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2012-04-30T16:33:00Z</dcterms:created>
  <dc:creator>Notebook</dc:creator>
  <dc:description/>
  <cp:keywords/>
  <dc:language>de-DE</dc:language>
  <cp:lastModifiedBy>Esra Kuşoğlu</cp:lastModifiedBy>
  <cp:lastPrinted>2005-04-27T17:06:00Z</cp:lastPrinted>
  <dcterms:modified xsi:type="dcterms:W3CDTF">2024-06-14T12:39:00Z</dcterms:modified>
  <cp:revision>33</cp:revision>
  <dc:subject/>
  <dc:title>ÖZMER</dc:title>
</cp:coreProperties>
</file>