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916" w:type="dxa"/>
        <w:jc w:val="start"/>
        <w:tblInd w:w="-62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87"/>
        <w:gridCol w:w="1005"/>
        <w:gridCol w:w="4042"/>
        <w:gridCol w:w="611"/>
        <w:gridCol w:w="2971"/>
      </w:tblGrid>
      <w:tr>
        <w:trPr>
          <w:trHeight w:val="786" w:hRule="atLeast"/>
        </w:trPr>
        <w:tc>
          <w:tcPr>
            <w:tcW w:w="2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rPr>
                <w:szCs w:val="18"/>
              </w:rPr>
            </w:pPr>
            <w:r>
              <w:rPr>
                <w:szCs w:val="18"/>
              </w:rPr>
              <w:t xml:space="preserve">PASTE FOR PASTRY AND ICE CREAM </w:t>
            </w:r>
          </w:p>
          <w:p>
            <w:pPr>
              <w:pStyle w:val="BodyText"/>
              <w:rPr>
                <w:szCs w:val="18"/>
              </w:rPr>
            </w:pPr>
            <w:r>
              <w:rPr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  : SP-FP-364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 issue: 12.07.2020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No.: 01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01.03.2022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No.: 1/1</w:t>
            </w:r>
          </w:p>
        </w:tc>
      </w:tr>
      <w:tr>
        <w:trPr>
          <w:trHeight w:val="11755" w:hRule="atLeast"/>
        </w:trPr>
        <w:tc>
          <w:tcPr>
            <w:tcW w:w="1091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Product Name                   : MANDARİN PASTE  FOR PASTRY AND ICE CREAM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1600 g /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in general purpose human nutrition, in ice creams, edible ices, pastry dough, creams, jellies, cookie dough, all </w:t>
            </w:r>
          </w:p>
          <w:p>
            <w:pPr>
              <w:pStyle w:val="Normal"/>
              <w:tabs>
                <w:tab w:val="clear" w:pos="708"/>
                <w:tab w:val="left" w:pos="2115" w:leader="none"/>
              </w:tabs>
              <w:rPr/>
            </w:pPr>
            <w:r>
              <w:rPr>
                <w:sz w:val="18"/>
                <w:szCs w:val="18"/>
              </w:rPr>
              <w:t xml:space="preserve">                                              </w:t>
            </w:r>
            <w:r>
              <w:rPr>
                <w:sz w:val="18"/>
                <w:szCs w:val="18"/>
              </w:rPr>
              <w:t>confectioneries , desserts and light bakery products.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This product is 1/30 concentrated product. 30-70 g is added to 1 kg of ice cream. It can be use in pastry as much as </w:t>
            </w:r>
          </w:p>
          <w:p>
            <w:pPr>
              <w:pStyle w:val="Normal"/>
              <w:tabs>
                <w:tab w:val="clear" w:pos="708"/>
                <w:tab w:val="left" w:pos="2115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</w:t>
            </w:r>
            <w:r>
              <w:rPr>
                <w:sz w:val="18"/>
                <w:szCs w:val="18"/>
              </w:rPr>
              <w:t>required.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szCs w:val="18"/>
              </w:rPr>
              <w:t xml:space="preserve">Storing Conditions           : </w:t>
            </w:r>
            <w:r>
              <w:rPr>
                <w:b w:val="false"/>
                <w:szCs w:val="18"/>
              </w:rPr>
              <w:t xml:space="preserve">It should be stored in its original packaging, 20-22º C under dry conditions, and direct sunlight should be avoided. </w:t>
            </w:r>
          </w:p>
          <w:p>
            <w:pPr>
              <w:pStyle w:val="Normal"/>
              <w:rPr/>
            </w:pPr>
            <w:r>
              <w:rPr>
                <w:b/>
                <w:sz w:val="18"/>
                <w:szCs w:val="18"/>
                <w:lang w:eastAsia="tr-TR"/>
              </w:rPr>
              <w:t>Shelf life                            :</w:t>
            </w:r>
            <w:r>
              <w:rPr>
                <w:sz w:val="18"/>
                <w:szCs w:val="18"/>
                <w:lang w:eastAsia="tr-TR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0" w:after="12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8931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760"/>
              <w:gridCol w:w="1352"/>
              <w:gridCol w:w="1471"/>
              <w:gridCol w:w="1647"/>
              <w:gridCol w:w="1701"/>
            </w:tblGrid>
            <w:tr>
              <w:trPr>
                <w:trHeight w:val="200" w:hRule="atLeast"/>
              </w:trPr>
              <w:tc>
                <w:tcPr>
                  <w:tcW w:w="27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</w:t>
                  </w:r>
                </w:p>
              </w:tc>
              <w:tc>
                <w:tcPr>
                  <w:tcW w:w="13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w="27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3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60,85 %</w:t>
                  </w:r>
                </w:p>
              </w:tc>
            </w:tr>
            <w:tr>
              <w:trPr>
                <w:trHeight w:val="186" w:hRule="atLeast"/>
              </w:trPr>
              <w:tc>
                <w:tcPr>
                  <w:tcW w:w="27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Mandarin</w:t>
                  </w:r>
                </w:p>
              </w:tc>
              <w:tc>
                <w:tcPr>
                  <w:tcW w:w="13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35 %</w:t>
                  </w:r>
                </w:p>
              </w:tc>
            </w:tr>
            <w:tr>
              <w:trPr>
                <w:trHeight w:val="197" w:hRule="atLeast"/>
              </w:trPr>
              <w:tc>
                <w:tcPr>
                  <w:tcW w:w="27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Citric Acid</w:t>
                  </w:r>
                </w:p>
              </w:tc>
              <w:tc>
                <w:tcPr>
                  <w:tcW w:w="13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2 %</w:t>
                  </w:r>
                </w:p>
              </w:tc>
            </w:tr>
            <w:tr>
              <w:trPr>
                <w:trHeight w:val="197" w:hRule="atLeast"/>
              </w:trPr>
              <w:tc>
                <w:tcPr>
                  <w:tcW w:w="27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(mandarin)</w:t>
                  </w:r>
                </w:p>
              </w:tc>
              <w:tc>
                <w:tcPr>
                  <w:tcW w:w="13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1,5 %</w:t>
                  </w:r>
                </w:p>
              </w:tc>
            </w:tr>
            <w:tr>
              <w:trPr>
                <w:trHeight w:val="200" w:hRule="atLeast"/>
              </w:trPr>
              <w:tc>
                <w:tcPr>
                  <w:tcW w:w="27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Pectin, Carboxy methyl cellulosse</w:t>
                  </w:r>
                </w:p>
              </w:tc>
              <w:tc>
                <w:tcPr>
                  <w:tcW w:w="13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de-DE"/>
                    </w:rPr>
                  </w:pPr>
                  <w:r>
                    <w:rPr>
                      <w:sz w:val="18"/>
                      <w:szCs w:val="18"/>
                      <w:lang w:val="de-DE"/>
                    </w:rPr>
                    <w:t>Thickener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440, E466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QS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0,5 %</w:t>
                  </w:r>
                </w:p>
              </w:tc>
            </w:tr>
            <w:tr>
              <w:trPr>
                <w:trHeight w:val="186" w:hRule="atLeast"/>
              </w:trPr>
              <w:tc>
                <w:tcPr>
                  <w:tcW w:w="27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Tartrazine, Sunset Yellow*</w:t>
                  </w:r>
                </w:p>
              </w:tc>
              <w:tc>
                <w:tcPr>
                  <w:tcW w:w="13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102,E110</w:t>
                  </w:r>
                </w:p>
              </w:tc>
              <w:tc>
                <w:tcPr>
                  <w:tcW w:w="16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150 mg/kg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0,15 %</w:t>
                  </w:r>
                </w:p>
              </w:tc>
            </w:tr>
          </w:tbl>
          <w:p>
            <w:pPr>
              <w:pStyle w:val="BodyText"/>
              <w:jc w:val="start"/>
              <w:rPr>
                <w:szCs w:val="18"/>
              </w:rPr>
            </w:pPr>
            <w:r>
              <w:rPr>
                <w:szCs w:val="18"/>
              </w:rPr>
              <w:t>* The amount of Sunset Yellow ( E 110) mustn’t be higher than 50 mg/lt.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bCs/>
                <w:szCs w:val="18"/>
              </w:rPr>
              <w:t>3.NUTRITIONAL INFORMATION:</w:t>
            </w:r>
            <w:r>
              <w:rPr>
                <w:b w:val="false"/>
                <w:bCs/>
                <w:szCs w:val="18"/>
              </w:rPr>
              <w:t xml:space="preserve">  (Energy and Nutrition Facts 100 g)*;</w:t>
            </w:r>
          </w:p>
          <w:tbl>
            <w:tblPr>
              <w:tblW w:w="4112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411"/>
              <w:gridCol w:w="1701"/>
            </w:tblGrid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Energy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b w:val="false"/>
                      <w:bCs/>
                      <w:szCs w:val="18"/>
                    </w:rPr>
                    <w:t>1190 kj/283 kcal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Total Fat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-of which Saturated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Cholesterol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Total Carbohydrate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67,0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66,4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Dietary Fibre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0,7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0,3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Sodium/salt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0,01 g/0,025 g</w:t>
                  </w:r>
                </w:p>
              </w:tc>
            </w:tr>
          </w:tbl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</w:t>
            </w:r>
            <w:r>
              <w:rPr>
                <w:b w:val="false"/>
                <w:bCs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4.PHYSICAL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mandarin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Homogenously structured with blueberry  particles.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5.CHEMICAL CHARACTERISTICS:</w:t>
            </w:r>
          </w:p>
          <w:p>
            <w:pPr>
              <w:pStyle w:val="BodyText"/>
              <w:ind w:start="360" w:end="0"/>
              <w:jc w:val="start"/>
              <w:rPr/>
            </w:pPr>
            <w:r>
              <w:rPr>
                <w:szCs w:val="18"/>
              </w:rPr>
              <w:t>pH  :</w:t>
            </w:r>
            <w:r>
              <w:rPr>
                <w:b w:val="false"/>
                <w:bCs/>
                <w:szCs w:val="18"/>
              </w:rPr>
              <w:t xml:space="preserve">    2,2 </w:t>
            </w:r>
            <w:r>
              <w:rPr>
                <w:rFonts w:eastAsia="Symbol" w:cs="Symbol" w:ascii="Symbol" w:hAnsi="Symbol"/>
                <w:b w:val="false"/>
                <w:bCs/>
                <w:szCs w:val="18"/>
              </w:rPr>
              <w:sym w:font="Symbol" w:char="f0b1"/>
            </w:r>
            <w:r>
              <w:rPr>
                <w:b w:val="false"/>
                <w:bCs/>
                <w:szCs w:val="18"/>
              </w:rPr>
              <w:t xml:space="preserve"> 0,2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/>
            </w:pPr>
            <w:r>
              <w:rPr>
                <w:b/>
                <w:bCs/>
                <w:sz w:val="18"/>
                <w:szCs w:val="18"/>
              </w:rPr>
              <w:t xml:space="preserve">       </w:t>
            </w:r>
            <w:r>
              <w:rPr>
                <w:b/>
                <w:bCs/>
                <w:sz w:val="18"/>
                <w:szCs w:val="18"/>
              </w:rPr>
              <w:t xml:space="preserve">Brix :  </w:t>
            </w:r>
            <w:r>
              <w:rPr>
                <w:sz w:val="18"/>
                <w:szCs w:val="18"/>
              </w:rPr>
              <w:t xml:space="preserve"> 70,0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rPr>
                <w:b/>
                <w:sz w:val="18"/>
                <w:szCs w:val="18"/>
                <w:lang w:val="tr-TR" w:eastAsia="tr-TR"/>
              </w:rPr>
            </w:pPr>
            <w:r>
              <w:rPr>
                <w:b/>
                <w:sz w:val="18"/>
                <w:szCs w:val="18"/>
                <w:lang w:val="tr-TR" w:eastAsia="tr-TR"/>
              </w:rPr>
              <w:t>6. CONTAMINANTS:</w:t>
            </w:r>
          </w:p>
          <w:tbl>
            <w:tblPr>
              <w:tblW w:w="5311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610"/>
              <w:gridCol w:w="1701"/>
            </w:tblGrid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Zearalenon (ZON)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  <w:lang w:val="tr-TR" w:eastAsia="tr-TR"/>
                    </w:rPr>
                  </w:pPr>
                  <w:r>
                    <w:rPr>
                      <w:b w:val="false"/>
                      <w:szCs w:val="18"/>
                    </w:rPr>
                    <w:t>Max. 50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Deoxinivanelone (DON)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500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Cadmium (Cd)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Arsenic (As)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  <w:lang w:eastAsia="tr-TR"/>
                    </w:rPr>
                  </w:pPr>
                  <w:r>
                    <w:rPr>
                      <w:b w:val="false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Mercury (Hg)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Lead ( Pb)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7.MICROBIOLOGICAL CHARACTERISTICS:</w:t>
            </w:r>
            <w:r>
              <w:rPr/>
              <w:t xml:space="preserve"> </w:t>
            </w:r>
          </w:p>
          <w:tbl>
            <w:tblPr>
              <w:tblW w:w="35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547"/>
              <w:gridCol w:w="2693"/>
              <w:gridCol w:w="2250"/>
            </w:tblGrid>
            <w:tr>
              <w:trPr>
                <w:trHeight w:val="286" w:hRule="atLeast"/>
                <w:cantSplit/>
              </w:trPr>
              <w:tc>
                <w:tcPr>
                  <w:tcW w:w="2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Cs/>
                      <w:szCs w:val="18"/>
                      <w:lang w:val="tr-TR" w:eastAsia="tr-TR"/>
                    </w:rPr>
                  </w:pPr>
                  <w:r>
                    <w:rPr>
                      <w:bCs/>
                      <w:szCs w:val="18"/>
                    </w:rPr>
                    <w:t>MICROORGANISM NAME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Cs/>
                      <w:szCs w:val="18"/>
                    </w:rPr>
                  </w:pPr>
                  <w:r>
                    <w:rPr>
                      <w:bCs/>
                      <w:szCs w:val="18"/>
                    </w:rPr>
                    <w:t>MICROBIOLOGICAL VALUE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Cs/>
                      <w:szCs w:val="18"/>
                    </w:rPr>
                  </w:pPr>
                  <w:r>
                    <w:rPr>
                      <w:bCs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286" w:hRule="atLeast"/>
                <w:cantSplit/>
              </w:trPr>
              <w:tc>
                <w:tcPr>
                  <w:tcW w:w="2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Mould and Yeast (kob/g)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/>
                  </w:pPr>
                  <w:r>
                    <w:rPr>
                      <w:b w:val="false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b w:val="false"/>
                      <w:szCs w:val="18"/>
                    </w:rPr>
                    <w:sym w:font="Symbol" w:char="f0b4"/>
                  </w:r>
                  <w:r>
                    <w:rPr>
                      <w:b w:val="false"/>
                      <w:szCs w:val="18"/>
                    </w:rPr>
                    <w:t xml:space="preserve"> 10</w:t>
                  </w:r>
                  <w:r>
                    <w:rPr>
                      <w:b w:val="false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b w:val="false"/>
                <w:bCs/>
                <w:szCs w:val="18"/>
                <w:shd w:fill="C6D9F1" w:val="clear"/>
              </w:rPr>
              <w:t>8.ALLERGEN ALERT:</w:t>
            </w:r>
            <w:r>
              <w:rPr>
                <w:b w:val="false"/>
                <w:bCs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b w:val="false"/>
                <w:bCs/>
                <w:szCs w:val="18"/>
              </w:rPr>
              <w:t>Does not contain any allergen. (According to European Regulation 2000/13/EC and subsequent modifications)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bCs/>
                <w:szCs w:val="18"/>
                <w:shd w:fill="C6D9F1" w:val="clear"/>
              </w:rPr>
              <w:t>9.GMO DECLARATION:</w:t>
            </w:r>
            <w:r>
              <w:rPr>
                <w:bCs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b w:val="false"/>
                <w:bCs/>
                <w:szCs w:val="18"/>
              </w:rPr>
              <w:t>OZMER  PASTACILIK A.S.  declares under its responsibility that the product of this chart is produced with no GMO.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</w:t>
            </w:r>
            <w:r>
              <w:rPr>
                <w:b w:val="false"/>
                <w:bCs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bCs/>
                <w:szCs w:val="18"/>
              </w:rPr>
              <w:t>10.REFERENCES:</w:t>
            </w:r>
            <w:r>
              <w:rPr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b w:val="false"/>
                <w:szCs w:val="18"/>
              </w:rPr>
            </w:pPr>
            <w:r>
              <w:rPr>
                <w:b w:val="false"/>
                <w:bCs/>
                <w:szCs w:val="18"/>
              </w:rPr>
              <w:t>OZMER PASTACILIK A.S. declares under its responsibility that the product of this chart is in accordance with the law in force ;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>* European Regulation 1333/2008/EC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>*</w:t>
            </w:r>
            <w:r>
              <w:rPr>
                <w:b w:val="false"/>
                <w:szCs w:val="18"/>
              </w:rPr>
              <w:t xml:space="preserve"> </w:t>
            </w:r>
            <w:r>
              <w:rPr>
                <w:b w:val="false"/>
                <w:bCs/>
                <w:szCs w:val="18"/>
              </w:rPr>
              <w:t>European Regulation 1881/2006/EC</w:t>
            </w:r>
            <w:r>
              <w:rPr>
                <w:b w:val="false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b w:val="false"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 xml:space="preserve">* European Regulation 2073/2005/EC </w:t>
            </w:r>
          </w:p>
          <w:p>
            <w:pPr>
              <w:pStyle w:val="BodyText"/>
              <w:jc w:val="start"/>
              <w:rPr/>
            </w:pPr>
            <w:r>
              <w:rPr>
                <w:b w:val="false"/>
                <w:bCs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>* European Regulation 396/2005/EC and subsequent modifications.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</w:r>
          </w:p>
        </w:tc>
      </w:tr>
      <w:tr>
        <w:trPr>
          <w:trHeight w:val="70" w:hRule="atLeast"/>
          <w:cantSplit/>
        </w:trPr>
        <w:tc>
          <w:tcPr>
            <w:tcW w:w="32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 :</w:t>
            </w:r>
          </w:p>
        </w:tc>
        <w:tc>
          <w:tcPr>
            <w:tcW w:w="4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 :</w:t>
            </w:r>
          </w:p>
        </w:tc>
        <w:tc>
          <w:tcPr>
            <w:tcW w:w="35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 :</w:t>
            </w:r>
          </w:p>
        </w:tc>
      </w:tr>
      <w:tr>
        <w:trPr>
          <w:trHeight w:val="466" w:hRule="atLeast"/>
          <w:cantSplit/>
        </w:trPr>
        <w:tc>
          <w:tcPr>
            <w:tcW w:w="32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R&amp;D Manager</w:t>
            </w:r>
          </w:p>
        </w:tc>
        <w:tc>
          <w:tcPr>
            <w:tcW w:w="4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Manager</w:t>
              <w:br/>
              <w:br/>
            </w:r>
          </w:p>
        </w:tc>
      </w:tr>
    </w:tbl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 w:eastAsia="tr-TR"/>
        </w:rPr>
      </w:r>
    </w:p>
    <w:sectPr>
      <w:type w:val="nextPage"/>
      <w:pgSz w:w="11906" w:h="16838"/>
      <w:pgMar w:left="1417" w:right="1417" w:gutter="0" w:header="0" w:top="568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Segoe UI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b/>
      <w:sz w:val="18"/>
      <w:szCs w:val="24"/>
      <w:lang w:val="en-US"/>
    </w:rPr>
  </w:style>
  <w:style w:type="character" w:styleId="BalonMetniChar">
    <w:name w:val="Balon Metni Char"/>
    <w:qFormat/>
    <w:rPr>
      <w:rFonts w:ascii="Segoe UI" w:hAnsi="Segoe UI" w:cs="Segoe UI"/>
      <w:sz w:val="18"/>
      <w:szCs w:val="18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sz w:val="1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Segoe UI" w:hAnsi="Segoe UI" w:cs="Segoe UI"/>
      <w:sz w:val="18"/>
      <w:szCs w:val="18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2021-03-12T13:02:00Z</dcterms:created>
  <dc:creator>HALİT</dc:creator>
  <dc:description/>
  <cp:keywords/>
  <dc:language>de-DE</dc:language>
  <cp:lastModifiedBy>Esra Kuşoğlu</cp:lastModifiedBy>
  <cp:lastPrinted>2021-03-29T11:55:00Z</cp:lastPrinted>
  <dcterms:modified xsi:type="dcterms:W3CDTF">2024-06-14T12:39:00Z</dcterms:modified>
  <cp:revision>14</cp:revision>
  <dc:subject/>
  <dc:title> </dc:title>
</cp:coreProperties>
</file>