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490" w:type="dxa"/>
        <w:jc w:val="start"/>
        <w:tblInd w:w="-74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52"/>
        <w:gridCol w:w="1134"/>
        <w:gridCol w:w="3827"/>
        <w:gridCol w:w="425"/>
        <w:gridCol w:w="2552"/>
      </w:tblGrid>
      <w:tr>
        <w:trPr/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de-DE" w:eastAsia="de-DE"/>
              </w:rPr>
              <w:drawing>
                <wp:inline distT="0" distB="0" distL="0" distR="0">
                  <wp:extent cx="1313815" cy="46609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si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33" t="-64" r="-33" b="-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6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FRUITED SYRUP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>PRODUCT SPECIFICATION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 No: SP-FP-1261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  <w:vertAlign w:val="superscript"/>
              </w:rPr>
              <w:t>st</w:t>
            </w:r>
            <w:r>
              <w:rPr>
                <w:sz w:val="18"/>
                <w:szCs w:val="18"/>
              </w:rPr>
              <w:t xml:space="preserve">  issue: 16.06.2025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No: 00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Date: -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 No: 1/1</w:t>
            </w:r>
          </w:p>
        </w:tc>
      </w:tr>
      <w:tr>
        <w:trPr/>
        <w:tc>
          <w:tcPr>
            <w:tcW w:w="1049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1.</w:t>
              <w:tab/>
              <w:t>GENERAL CHARACTERISTICS 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Trade Mark                    </w:t>
            </w:r>
            <w:r>
              <w:rPr>
                <w:bCs/>
                <w:sz w:val="18"/>
                <w:szCs w:val="18"/>
              </w:rPr>
              <w:t>: FO FOOD PRODUCTS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Product name                 :</w:t>
            </w:r>
            <w:r>
              <w:rPr>
                <w:b/>
                <w:bCs/>
                <w:sz w:val="18"/>
                <w:szCs w:val="18"/>
              </w:rPr>
              <w:t xml:space="preserve"> GRAPEFRUIT FRUITED </w:t>
            </w:r>
            <w:r>
              <w:rPr>
                <w:b/>
                <w:sz w:val="18"/>
                <w:szCs w:val="18"/>
              </w:rPr>
              <w:t>SYRUP</w:t>
            </w:r>
            <w:r>
              <w:rPr>
                <w:sz w:val="18"/>
                <w:szCs w:val="18"/>
              </w:rPr>
              <w:t xml:space="preserve"> - PREMIUM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Packing type                   </w:t>
            </w:r>
            <w:r>
              <w:rPr>
                <w:sz w:val="18"/>
                <w:szCs w:val="18"/>
              </w:rPr>
              <w:t xml:space="preserve">: 70 cl  / Glass bottle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Shipment                         :</w:t>
            </w:r>
            <w:r>
              <w:rPr>
                <w:sz w:val="18"/>
                <w:szCs w:val="18"/>
              </w:rPr>
              <w:t xml:space="preserve"> Shipped in closed cartoon packaging on lorries with closed containers.</w:t>
            </w:r>
            <w:r>
              <w:rPr>
                <w:b/>
                <w:sz w:val="18"/>
                <w:szCs w:val="18"/>
              </w:rPr>
              <w:t xml:space="preserve">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Intended Area of Usage :</w:t>
            </w:r>
            <w:r>
              <w:rPr>
                <w:sz w:val="18"/>
                <w:szCs w:val="18"/>
              </w:rPr>
              <w:t xml:space="preserve"> Used  as human nutrition, to prepare alcoholic or  non-alcoholic cocktail  or drunk after  being  diluted.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of Usage                 :</w:t>
            </w:r>
            <w:r>
              <w:rPr>
                <w:sz w:val="18"/>
                <w:szCs w:val="18"/>
              </w:rPr>
              <w:t xml:space="preserve"> Contains 40% fruit juice. Used  to make cocktail or  diluted with water (1/8) to drink directly.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Storing Conditions         :</w:t>
            </w:r>
            <w:r>
              <w:rPr>
                <w:sz w:val="18"/>
                <w:szCs w:val="18"/>
              </w:rPr>
              <w:t xml:space="preserve"> It should be stored in its original packaging, 20-22º C under dry conditions, and direct sunlight should be avoided.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Shelf life                          : </w:t>
            </w:r>
            <w:r>
              <w:rPr>
                <w:sz w:val="18"/>
                <w:szCs w:val="18"/>
              </w:rPr>
              <w:t>The product has a shelf life of  2 years under the described storing conditions and in its closed packaging</w:t>
            </w:r>
            <w:r>
              <w:rPr>
                <w:b/>
                <w:sz w:val="18"/>
                <w:szCs w:val="18"/>
              </w:rPr>
              <w:t xml:space="preserve"> 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2. PRODUCT INGREDIENTS :</w:t>
            </w:r>
          </w:p>
          <w:tbl>
            <w:tblPr>
              <w:tblW w:w="9356" w:type="dxa"/>
              <w:jc w:val="start"/>
              <w:tblInd w:w="454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43"/>
              <w:gridCol w:w="1593"/>
              <w:gridCol w:w="1701"/>
              <w:gridCol w:w="1560"/>
              <w:gridCol w:w="1559"/>
            </w:tblGrid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b/>
                      <w:sz w:val="18"/>
                      <w:szCs w:val="18"/>
                    </w:rPr>
                    <w:t>INGREDIENTS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EC CODE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b/>
                      <w:sz w:val="18"/>
                      <w:szCs w:val="18"/>
                    </w:rPr>
                    <w:t>MAX. DOSAGE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PERCENTAGE 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62%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Water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33,878%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Grapefruit Juıce Concantrate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2,05%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Tartaric Acid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Acidity Regulator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334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1,22%</w:t>
                  </w:r>
                </w:p>
              </w:tc>
            </w:tr>
            <w:tr>
              <w:trPr>
                <w:trHeight w:val="399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Natural Flavouring  (Grapefruit, Lime, Tonic)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Flavouring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0,8%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Potassium Sorbate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Preservative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202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0,25 gr/ lt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0,025%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Sodium Benzoate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Preservative 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211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0,15 gr/lt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0,015%</w:t>
                  </w:r>
                </w:p>
              </w:tc>
            </w:tr>
            <w:tr>
              <w:trPr>
                <w:trHeight w:val="301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Hibiskus Extract, Anatto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Colorant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 , E 160b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de-DE"/>
                    </w:rPr>
                  </w:pPr>
                  <w:r>
                    <w:rPr>
                      <w:sz w:val="18"/>
                      <w:szCs w:val="18"/>
                      <w:lang w:val="de-DE"/>
                    </w:rPr>
                    <w:t>QS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de-DE"/>
                    </w:rPr>
                  </w:pPr>
                  <w:r>
                    <w:rPr>
                      <w:sz w:val="18"/>
                      <w:szCs w:val="18"/>
                      <w:lang w:val="de-DE"/>
                    </w:rPr>
                    <w:t>0,012%</w:t>
                  </w:r>
                </w:p>
              </w:tc>
            </w:tr>
          </w:tbl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3.NUTRITIONAL INFORMATION:</w:t>
            </w:r>
            <w:r>
              <w:rPr>
                <w:sz w:val="18"/>
                <w:szCs w:val="18"/>
              </w:rPr>
              <w:t xml:space="preserve">  (Energy and Nutrition Facts 100 ml</w:t>
            </w:r>
            <w:r>
              <w:rPr/>
              <w:t>)*;</w:t>
            </w:r>
          </w:p>
          <w:tbl>
            <w:tblPr>
              <w:tblW w:w="4019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318"/>
              <w:gridCol w:w="1701"/>
            </w:tblGrid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Enerji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/>
                  </w:pPr>
                  <w:r>
                    <w:rPr>
                      <w:sz w:val="18"/>
                      <w:szCs w:val="18"/>
                    </w:rPr>
                    <w:t>1460 kj/348 kcal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Toplam Yağ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Doymuş Yağ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Kolesterol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Toplam karbonhidrat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84,9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Şeker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83,2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Nişasta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Diyet Lifi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Protein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Sodyum/ Tuz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0,004 g / 0,01 g</w:t>
                  </w:r>
                </w:p>
              </w:tc>
            </w:tr>
          </w:tbl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</w:t>
            </w:r>
            <w:r>
              <w:rPr>
                <w:sz w:val="18"/>
                <w:szCs w:val="18"/>
              </w:rPr>
              <w:t>*( According to European Regulation  90/496/CE and subsequent modifications)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/>
            </w:pPr>
            <w:r>
              <w:rPr>
                <w:b/>
                <w:sz w:val="18"/>
                <w:szCs w:val="18"/>
              </w:rPr>
              <w:t>4.  PHYSICAL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Color/Taste/Odor :</w:t>
            </w:r>
            <w:r>
              <w:rPr>
                <w:sz w:val="18"/>
                <w:szCs w:val="18"/>
              </w:rPr>
              <w:t xml:space="preserve"> It has authentic grapefruit color,  taste and   flavor.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Appearance           :</w:t>
            </w:r>
            <w:r>
              <w:rPr>
                <w:sz w:val="18"/>
                <w:szCs w:val="18"/>
              </w:rPr>
              <w:t xml:space="preserve"> Homogenized structured. Does not have physically distinct. Does not include foreign materials.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5.  CHEMICAL CHARACTERISTICS:</w:t>
            </w:r>
          </w:p>
          <w:p>
            <w:pPr>
              <w:pStyle w:val="BodyText"/>
              <w:numPr>
                <w:ilvl w:val="0"/>
                <w:numId w:val="1"/>
              </w:numPr>
              <w:spacing w:before="0" w:after="0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pH     : </w:t>
            </w:r>
            <w:r>
              <w:rPr>
                <w:sz w:val="18"/>
                <w:szCs w:val="18"/>
              </w:rPr>
              <w:t xml:space="preserve"> 2,4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sz w:val="18"/>
                <w:szCs w:val="18"/>
              </w:rPr>
              <w:t xml:space="preserve"> 0.2</w:t>
            </w:r>
          </w:p>
          <w:p>
            <w:pPr>
              <w:pStyle w:val="BodyText"/>
              <w:numPr>
                <w:ilvl w:val="0"/>
                <w:numId w:val="1"/>
              </w:numPr>
              <w:spacing w:before="0" w:after="0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Briks :</w:t>
            </w:r>
            <w:r>
              <w:rPr>
                <w:sz w:val="18"/>
                <w:szCs w:val="18"/>
              </w:rPr>
              <w:t xml:space="preserve">  65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sz w:val="18"/>
                <w:szCs w:val="18"/>
              </w:rPr>
              <w:t xml:space="preserve"> 2.0</w:t>
            </w:r>
          </w:p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6.  CONTAMINANTS  :</w:t>
            </w:r>
          </w:p>
          <w:tbl>
            <w:tblPr>
              <w:tblW w:w="4536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77"/>
              <w:gridCol w:w="1559"/>
            </w:tblGrid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Cadmium (Cd)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Arsenic (As)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Max.3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Mercury (Hg)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Lead ( Pb)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 10</w:t>
                  </w:r>
                </w:p>
              </w:tc>
            </w:tr>
          </w:tbl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  <w:shd w:fill="C6D9F1" w:val="clear"/>
              </w:rPr>
              <w:t>7.</w:t>
              <w:tab/>
              <w:t>MICROBIOLOGICAL CHARACTERISTICS:</w:t>
            </w:r>
          </w:p>
          <w:tbl>
            <w:tblPr>
              <w:tblW w:w="3300" w:type="pct"/>
              <w:jc w:val="start"/>
              <w:tblInd w:w="465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2451"/>
              <w:gridCol w:w="2491"/>
              <w:gridCol w:w="1838"/>
            </w:tblGrid>
            <w:tr>
              <w:trPr>
                <w:trHeight w:val="362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MICROORGANISM NAME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MICROBIOLOGICAL VALUE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ANALYSIS METHOD</w:t>
                  </w:r>
                </w:p>
              </w:tc>
            </w:tr>
            <w:tr>
              <w:trPr>
                <w:trHeight w:val="188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Salmonella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0/25 g-ml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EN/ISO 6579</w:t>
                  </w:r>
                </w:p>
              </w:tc>
            </w:tr>
            <w:tr>
              <w:trPr>
                <w:trHeight w:val="195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L.Monocytogenes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0/25 g-ml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EN/ISO 11290-1</w:t>
                  </w:r>
                </w:p>
              </w:tc>
            </w:tr>
            <w:tr>
              <w:trPr>
                <w:trHeight w:val="195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E.Coli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0/25 g-ml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ISO 16649-2/3</w:t>
                  </w:r>
                </w:p>
              </w:tc>
            </w:tr>
          </w:tbl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8.ALLERGEN ALERT: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Does not contain any allergen.(According to European Regulation 2000/13/EC and subsequent modifications)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9.GMO DECLARATION: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Cs/>
                <w:sz w:val="18"/>
                <w:szCs w:val="18"/>
              </w:rPr>
              <w:t xml:space="preserve">OZMER PASTACILIK A.S. </w:t>
            </w:r>
            <w:r>
              <w:rPr>
                <w:sz w:val="18"/>
                <w:szCs w:val="18"/>
              </w:rPr>
              <w:t>declares under its responsibility that the product of this chart is produced with no GMO.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( According to European Regulation 2003/1829/CE,2003/1830/CE and subsequent modification. </w:t>
            </w:r>
          </w:p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10.REFERENCES: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Cs/>
                <w:sz w:val="18"/>
                <w:szCs w:val="18"/>
              </w:rPr>
              <w:t xml:space="preserve">OZMER PASTACILIK A.S. </w:t>
            </w:r>
            <w:r>
              <w:rPr>
                <w:sz w:val="18"/>
                <w:szCs w:val="18"/>
              </w:rPr>
              <w:t>declares under its responsibility that the product of this chart is in accordance with the law in force;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* European Regulation 1333/2008/EC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 xml:space="preserve">* European Regulation 1881/2006/EC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* European Regulation 2073/2005/EC</w:t>
            </w:r>
          </w:p>
          <w:p>
            <w:pPr>
              <w:pStyle w:val="Normal"/>
              <w:tabs>
                <w:tab w:val="clear" w:pos="708"/>
                <w:tab w:val="left" w:pos="360" w:leader="none"/>
                <w:tab w:val="left" w:pos="72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* European Regulation 396/2005/EC and subsequent modifications.</w:t>
            </w:r>
          </w:p>
        </w:tc>
      </w:tr>
      <w:tr>
        <w:trPr/>
        <w:tc>
          <w:tcPr>
            <w:tcW w:w="36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PREPARED BY: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REVIEWED BY:</w:t>
            </w:r>
          </w:p>
        </w:tc>
        <w:tc>
          <w:tcPr>
            <w:tcW w:w="297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 BY:</w:t>
            </w:r>
          </w:p>
        </w:tc>
      </w:tr>
      <w:tr>
        <w:trPr/>
        <w:tc>
          <w:tcPr>
            <w:tcW w:w="36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  <w:lang w:val="fr-FR"/>
              </w:rPr>
              <w:t xml:space="preserve">R&amp;D Manager 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Management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297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  <w:lang w:val="de-DE"/>
              </w:rPr>
              <w:t>General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</w:r>
          </w:p>
        </w:tc>
      </w:tr>
    </w:tbl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sectPr>
      <w:type w:val="nextPage"/>
      <w:pgSz w:w="11906" w:h="16838"/>
      <w:pgMar w:left="1417" w:right="1417" w:gutter="0" w:header="0" w:top="709" w:footer="0" w:bottom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a2" w:characterSet="windows-1254"/>
    <w:family w:val="roman"/>
    <w:pitch w:val="variable"/>
  </w:font>
  <w:font w:name="Courier New">
    <w:charset w:val="a2" w:characterSet="windows-1254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  <w:b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Times New Roman" w:hAnsi="Times New Roman" w:eastAsia="Times New Roman" w:cs="Times New Roman"/>
      <w:b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VarsaylanParagrafYazTipi">
    <w:name w:val="Varsayılan Paragraf Yazı Tipi"/>
    <w:qFormat/>
    <w:rPr/>
  </w:style>
  <w:style w:type="character" w:styleId="GvdeMetniChar">
    <w:name w:val="Gövde Metni Char"/>
    <w:qFormat/>
    <w:rPr>
      <w:sz w:val="24"/>
      <w:szCs w:val="24"/>
      <w:lang w:val="en-US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GvdeMetni2">
    <w:name w:val="Gövde Metni 2"/>
    <w:basedOn w:val="Normal"/>
    <w:qFormat/>
    <w:pPr>
      <w:spacing w:lineRule="auto" w:line="360"/>
      <w:jc w:val="both"/>
    </w:pPr>
    <w:rPr>
      <w:color w:val="FF00FF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2025-06-16T08:27:00Z</dcterms:created>
  <dc:creator>sevda</dc:creator>
  <dc:description/>
  <cp:keywords/>
  <dc:language>de-DE</dc:language>
  <cp:lastModifiedBy>Gamze Atılgan</cp:lastModifiedBy>
  <dcterms:modified xsi:type="dcterms:W3CDTF">2025-06-16T08:44:00Z</dcterms:modified>
  <cp:revision>5</cp:revision>
  <dc:subject/>
  <dc:title> </dc:title>
</cp:coreProperties>
</file>