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9"/>
        <w:gridCol w:w="3969"/>
        <w:gridCol w:w="3636"/>
      </w:tblGrid>
      <w:tr>
        <w:trPr>
          <w:trHeight w:val="12577" w:hRule="atLeast"/>
        </w:trPr>
        <w:tc>
          <w:tcPr>
            <w:tcW w:w="107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de-DE" w:eastAsia="de-DE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8239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06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87"/>
              <w:gridCol w:w="5303"/>
              <w:gridCol w:w="2371"/>
            </w:tblGrid>
            <w:tr>
              <w:trPr>
                <w:trHeight w:val="885" w:hRule="atLeast"/>
              </w:trPr>
              <w:tc>
                <w:tcPr>
                  <w:tcW w:w="29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ICE CREAM SAUCE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PRODUCT SPECIFICATION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  <w:tc>
                <w:tcPr>
                  <w:tcW w:w="53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tr-TR"/>
                    </w:rPr>
                  </w:pPr>
                  <w:r>
                    <w:rPr>
                      <w:sz w:val="18"/>
                      <w:szCs w:val="18"/>
                    </w:rPr>
                    <w:t>Document No  : SP-FP-386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sz w:val="18"/>
                      <w:szCs w:val="18"/>
                    </w:rPr>
                    <w:t>1</w:t>
                  </w:r>
                  <w:r>
                    <w:rPr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sz w:val="18"/>
                      <w:szCs w:val="18"/>
                    </w:rPr>
                    <w:t xml:space="preserve"> issue: 01.05.2003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No.: 01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Date: 10.08.2021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Page No.: 1/1</w:t>
                  </w:r>
                </w:p>
              </w:tc>
              <w:tc>
                <w:tcPr>
                  <w:tcW w:w="23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RASPBERRY  –  RASPBERRY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879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4"/>
              <w:gridCol w:w="1734"/>
              <w:gridCol w:w="1282"/>
              <w:gridCol w:w="1452"/>
              <w:gridCol w:w="1717"/>
            </w:tblGrid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Raspberry 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7,43%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Trisodium citrate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Allura Red , Carmoisine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129,E 122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 / kg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(raspberry)</w:t>
                  </w:r>
                </w:p>
              </w:tc>
              <w:tc>
                <w:tcPr>
                  <w:tcW w:w="17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0,03%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*The amount of Carmoisine ( E 122) musn’t be higher than 50 mg/kg.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1230 kj/295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43,2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g/0,05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raspberry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homogenous structure with fruit particles.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-</w:t>
              <w:tab/>
            </w:r>
            <w:r>
              <w:rPr>
                <w:b/>
                <w:sz w:val="18"/>
                <w:szCs w:val="18"/>
              </w:rPr>
              <w:t>pH   :</w:t>
            </w:r>
            <w:r>
              <w:rPr>
                <w:sz w:val="18"/>
                <w:szCs w:val="18"/>
              </w:rPr>
              <w:t xml:space="preserve">  3.2 ± 0.5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Brix:</w:t>
            </w:r>
            <w:r>
              <w:rPr>
                <w:sz w:val="18"/>
                <w:szCs w:val="18"/>
              </w:rPr>
              <w:t xml:space="preserve"> 72.0 ±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426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2011-05-03T09:04:00Z</dcterms:created>
  <dc:creator>Administrator</dc:creator>
  <dc:description/>
  <cp:keywords/>
  <dc:language>de-DE</dc:language>
  <cp:lastModifiedBy>Ceren Boğazkesenli</cp:lastModifiedBy>
  <cp:lastPrinted>2010-05-14T08:50:00Z</cp:lastPrinted>
  <dcterms:modified xsi:type="dcterms:W3CDTF">2026-03-23T10:38:00Z</dcterms:modified>
  <cp:revision>46</cp:revision>
  <dc:subject/>
  <dc:title/>
</cp:coreProperties>
</file>