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9"/>
        <w:gridCol w:w="727"/>
        <w:gridCol w:w="3827"/>
        <w:gridCol w:w="605"/>
        <w:gridCol w:w="3222"/>
      </w:tblGrid>
      <w:tr>
        <w:trPr>
          <w:trHeight w:val="132" w:hRule="atLeast"/>
        </w:trPr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4450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SP-FP-393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01.05.2003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821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1.GENERAL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PISTACHIO  – PISTACHIO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/350 gr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0" w:type="dxa"/>
              <w:jc w:val="start"/>
              <w:tblInd w:w="17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016"/>
              <w:gridCol w:w="1646"/>
              <w:gridCol w:w="1277"/>
              <w:gridCol w:w="1710"/>
              <w:gridCol w:w="1701"/>
            </w:tblGrid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  <w:tab w:val="left" w:pos="525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Sugar 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Glucose Syrup 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Pistachio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15%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Water 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18,9%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 , Trisodıum citrate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Chlorophyll, Riboflavin 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141, E 101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(pistachio )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138" w:hRule="atLeast"/>
              </w:trPr>
              <w:tc>
                <w:tcPr>
                  <w:tcW w:w="3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6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 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1360 kj / 325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70,6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57,8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0,004 g / 0,1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pistachio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of homogenous structure with </w:t>
            </w:r>
            <w:r>
              <w:rPr>
                <w:bCs/>
                <w:sz w:val="18"/>
                <w:szCs w:val="18"/>
              </w:rPr>
              <w:t>pistachio</w:t>
            </w:r>
            <w:r>
              <w:rPr>
                <w:sz w:val="18"/>
                <w:szCs w:val="18"/>
              </w:rPr>
              <w:t xml:space="preserve"> particles. Does not have physically distinct. It does not contain foreign materials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5.0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Max.8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7.MICROBIOLOGICAL CHARACTERISTICS: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13"/>
              <w:gridCol w:w="2777"/>
              <w:gridCol w:w="2630"/>
            </w:tblGrid>
            <w:tr>
              <w:trPr>
                <w:trHeight w:val="214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pistachio.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206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374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426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2011-04-23T09:30:00Z</dcterms:created>
  <dc:creator>sevda</dc:creator>
  <dc:description/>
  <cp:keywords/>
  <dc:language>de-DE</dc:language>
  <cp:lastModifiedBy>Esra Kuşoğlu</cp:lastModifiedBy>
  <cp:lastPrinted>2010-05-14T08:11:00Z</cp:lastPrinted>
  <dcterms:modified xsi:type="dcterms:W3CDTF">2024-06-14T11:18:00Z</dcterms:modified>
  <cp:revision>31</cp:revision>
  <dc:subject/>
  <dc:title> </dc:title>
</cp:coreProperties>
</file>