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40" w:before="0"/>
        <w:jc w:val="center"/>
      </w:pPr>
      <w:r>
        <w:rPr>
          <w:rFonts w:ascii="Arial" w:cs="Arial" w:eastAsia="Arial" w:hAnsi="Arial"/>
          <w:b/>
          <w:bCs/>
          <w:color w:val="1B2A4A"/>
          <w:sz w:val="72"/>
          <w:szCs w:val="72"/>
        </w:rPr>
        <w:t xml:space="preserve">TIRTH PATEL</w:t>
      </w:r>
    </w:p>
    <w:p>
      <w:pPr>
        <w:spacing w:after="120" w:before="0"/>
        <w:jc w:val="center"/>
      </w:pPr>
      <w:r>
        <w:rPr>
          <w:rFonts w:ascii="Arial" w:cs="Arial" w:eastAsia="Arial" w:hAnsi="Arial"/>
          <w:color w:val="2563EB"/>
          <w:sz w:val="26"/>
          <w:szCs w:val="26"/>
        </w:rPr>
        <w:t xml:space="preserve">Full-Stack Engineer  ·  AI/RAG Engineer  ·  DevOps Practitioner</w:t>
      </w:r>
    </w:p>
    <w:p>
      <w:pPr>
        <w:pBdr>
          <w:bottom w:val="single" w:color="2563EB" w:sz="6" w:space="6"/>
        </w:pBdr>
        <w:spacing w:after="200" w:before="0"/>
        <w:jc w:val="center"/>
      </w:pPr>
      <w:r>
        <w:t xml:space="preserve"/>
      </w:r>
    </w:p>
    <w:p>
      <w:pPr>
        <w:spacing w:after="0" w:before="200"/>
      </w:pPr>
      <w:r>
        <w:t xml:space="preserve"/>
      </w:r>
    </w:p>
    <w:p>
      <w:pPr>
        <w:spacing w:after="60" w:before="0"/>
        <w:jc w:val="center"/>
      </w:pPr>
      <w:r>
        <w:rPr>
          <w:rFonts w:ascii="Arial" w:cs="Arial" w:eastAsia="Arial" w:hAnsi="Arial"/>
          <w:b w:val="false"/>
          <w:bCs w:val="false"/>
          <w:color w:val="6B7280"/>
          <w:sz w:val="28"/>
          <w:szCs w:val="28"/>
        </w:rPr>
        <w:t xml:space="preserve">Technical Portfolio &amp; Engineering Approach</w:t>
      </w:r>
    </w:p>
    <w:p>
      <w:pPr>
        <w:spacing w:after="60" w:before="0"/>
        <w:jc w:val="center"/>
      </w:pPr>
      <w:r>
        <w:rPr>
          <w:rFonts w:ascii="Arial" w:cs="Arial" w:eastAsia="Arial" w:hAnsi="Arial"/>
          <w:color w:val="6B7280"/>
          <w:sz w:val="22"/>
          <w:szCs w:val="22"/>
        </w:rPr>
        <w:t xml:space="preserve">Prepared for Senior Engineering Review</w:t>
      </w:r>
    </w:p>
    <w:p>
      <w:pPr>
        <w:spacing w:after="0" w:before="1440"/>
      </w:pPr>
      <w:r>
        <w:t xml:space="preserve"/>
      </w:r>
    </w:p>
    <w:p>
      <w:r>
        <w:br w:type="page"/>
      </w:r>
    </w:p>
    <w:p>
      <w:pPr>
        <w:pStyle w:val="Heading1"/>
        <w:pBdr>
          <w:bottom w:val="single" w:color="2563EB" w:sz="4" w:space="6"/>
        </w:pBdr>
        <w:spacing w:after="120" w:before="360"/>
      </w:pPr>
      <w:r>
        <w:rPr>
          <w:rFonts w:ascii="Arial" w:cs="Arial" w:eastAsia="Arial" w:hAnsi="Arial"/>
          <w:b/>
          <w:bCs/>
          <w:color w:val="1B2A4A"/>
          <w:sz w:val="28"/>
          <w:szCs w:val="28"/>
        </w:rPr>
        <w:t xml:space="preserve">1. How I Think</w:t>
      </w:r>
    </w:p>
    <w:p>
      <w:pPr>
        <w:spacing w:after="100" w:before="60"/>
      </w:pPr>
      <w:r>
        <w:rPr>
          <w:rFonts w:ascii="Arial" w:cs="Arial" w:eastAsia="Arial" w:hAnsi="Arial"/>
          <w:color w:val="111827"/>
          <w:sz w:val="22"/>
          <w:szCs w:val="22"/>
        </w:rPr>
        <w:t xml:space="preserve">My engineering mindset is anchored in three core instincts: anticipate failure before it happens, ship iteratively, and design every system to be observable from day one.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1.1 Start With Failure Modes</w:t>
      </w:r>
    </w:p>
    <w:p>
      <w:pPr>
        <w:spacing w:after="100" w:before="60"/>
      </w:pPr>
      <w:r>
        <w:rPr>
          <w:rFonts w:ascii="Arial" w:cs="Arial" w:eastAsia="Arial" w:hAnsi="Arial"/>
          <w:color w:val="111827"/>
          <w:sz w:val="22"/>
          <w:szCs w:val="22"/>
        </w:rPr>
        <w:t xml:space="preserve">Before writing a single line of happy-path code, I ask:</w:t>
      </w:r>
    </w:p>
    <w:p>
      <w:pPr>
        <w:pStyle w:val="ListParagraph"/>
        <w:numPr>
          <w:ilvl w:val="0"/>
          <w:numId w:val="2"/>
        </w:numPr>
        <w:spacing w:after="40" w:before="40"/>
      </w:pPr>
      <w:r>
        <w:rPr>
          <w:rFonts w:ascii="Arial" w:cs="Arial" w:eastAsia="Arial" w:hAnsi="Arial"/>
          <w:color w:val="111827"/>
          <w:sz w:val="22"/>
          <w:szCs w:val="22"/>
        </w:rPr>
        <w:t xml:space="preserve">What happens if the input is malformed or empty?</w:t>
      </w:r>
    </w:p>
    <w:p>
      <w:pPr>
        <w:pStyle w:val="ListParagraph"/>
        <w:numPr>
          <w:ilvl w:val="0"/>
          <w:numId w:val="2"/>
        </w:numPr>
        <w:spacing w:after="40" w:before="40"/>
      </w:pPr>
      <w:r>
        <w:rPr>
          <w:rFonts w:ascii="Arial" w:cs="Arial" w:eastAsia="Arial" w:hAnsi="Arial"/>
          <w:color w:val="111827"/>
          <w:sz w:val="22"/>
          <w:szCs w:val="22"/>
        </w:rPr>
        <w:t xml:space="preserve">What if the external service (S3, email provider, payment gateway) is down?</w:t>
      </w:r>
    </w:p>
    <w:p>
      <w:pPr>
        <w:pStyle w:val="ListParagraph"/>
        <w:numPr>
          <w:ilvl w:val="0"/>
          <w:numId w:val="2"/>
        </w:numPr>
        <w:spacing w:after="40" w:before="40"/>
      </w:pPr>
      <w:r>
        <w:rPr>
          <w:rFonts w:ascii="Arial" w:cs="Arial" w:eastAsia="Arial" w:hAnsi="Arial"/>
          <w:color w:val="111827"/>
          <w:sz w:val="22"/>
          <w:szCs w:val="22"/>
        </w:rPr>
        <w:t xml:space="preserve">What is the attack surface here — SQL injection, email header injection, CSRF?</w:t>
      </w:r>
    </w:p>
    <w:p>
      <w:pPr>
        <w:pStyle w:val="ListParagraph"/>
        <w:numPr>
          <w:ilvl w:val="0"/>
          <w:numId w:val="2"/>
        </w:numPr>
        <w:spacing w:after="40" w:before="40"/>
      </w:pPr>
      <w:r>
        <w:rPr>
          <w:rFonts w:ascii="Arial" w:cs="Arial" w:eastAsia="Arial" w:hAnsi="Arial"/>
          <w:color w:val="111827"/>
          <w:sz w:val="22"/>
          <w:szCs w:val="22"/>
        </w:rPr>
        <w:t xml:space="preserve">What degrades gracefully versus what completely blocks the user?</w:t>
      </w:r>
    </w:p>
    <w:p>
      <w:pPr>
        <w:pStyle w:val="ListParagraph"/>
        <w:numPr>
          <w:ilvl w:val="0"/>
          <w:numId w:val="2"/>
        </w:numPr>
        <w:spacing w:after="40" w:before="40"/>
      </w:pPr>
      <w:r>
        <w:rPr>
          <w:rFonts w:ascii="Arial" w:cs="Arial" w:eastAsia="Arial" w:hAnsi="Arial"/>
          <w:color w:val="111827"/>
          <w:sz w:val="22"/>
          <w:szCs w:val="22"/>
        </w:rPr>
        <w:t xml:space="preserve">What if this runs across multiple cold-started serverless instances simultaneously?</w:t>
      </w:r>
    </w:p>
    <w:p>
      <w:pPr>
        <w:spacing w:after="0" w:before="80"/>
      </w:pPr>
      <w:r>
        <w:t xml:space="preserve"/>
      </w:r>
    </w:p>
    <w:p>
      <w:pPr>
        <w:spacing w:after="100" w:before="60"/>
      </w:pPr>
      <w:r>
        <w:rPr>
          <w:rFonts w:ascii="Arial" w:cs="Arial" w:eastAsia="Arial" w:hAnsi="Arial"/>
          <w:color w:val="111827"/>
          <w:sz w:val="22"/>
          <w:szCs w:val="22"/>
        </w:rPr>
        <w:t xml:space="preserve">This discipline shapes the architecture before implementation begins. In my Cambridge Station project, the contact form endpoint implements six independent security layers — not because I planned all six upfront, but because after each iteration I asked "how would I attack this now?"</w:t>
      </w:r>
    </w:p>
    <w:p>
      <w:pPr>
        <w:spacing w:after="0" w:before="80"/>
      </w:pPr>
      <w:r>
        <w:t xml:space="preserve"/>
      </w:r>
    </w:p>
    <w:p>
      <w:pPr>
        <w:pStyle w:val="Heading2"/>
        <w:spacing w:after="80" w:before="240"/>
      </w:pPr>
      <w:r>
        <w:rPr>
          <w:rFonts w:ascii="Arial" w:cs="Arial" w:eastAsia="Arial" w:hAnsi="Arial"/>
          <w:b/>
          <w:bCs/>
          <w:color w:val="2563EB"/>
          <w:sz w:val="24"/>
          <w:szCs w:val="24"/>
        </w:rPr>
        <w:t xml:space="preserve">1.2 Ship the MVP, Then Layer Defenses</w:t>
      </w:r>
    </w:p>
    <w:p>
      <w:pPr>
        <w:spacing w:after="100" w:before="60"/>
      </w:pPr>
      <w:r>
        <w:rPr>
          <w:rFonts w:ascii="Arial" w:cs="Arial" w:eastAsia="Arial" w:hAnsi="Arial"/>
          <w:color w:val="111827"/>
          <w:sz w:val="22"/>
          <w:szCs w:val="22"/>
        </w:rPr>
        <w:t xml:space="preserve">I believe in pragmatic shipping over premature perfection. My typical iteration cycle:</w:t>
      </w:r>
    </w:p>
    <w:p>
      <w:pPr>
        <w:pStyle w:val="ListParagraph"/>
        <w:numPr>
          <w:ilvl w:val="0"/>
          <w:numId w:val="2"/>
        </w:numPr>
        <w:spacing w:after="40" w:before="40"/>
      </w:pPr>
      <w:r>
        <w:rPr>
          <w:rFonts w:ascii="Arial" w:cs="Arial" w:eastAsia="Arial" w:hAnsi="Arial"/>
          <w:color w:val="111827"/>
          <w:sz w:val="22"/>
          <w:szCs w:val="22"/>
        </w:rPr>
        <w:t xml:space="preserve">Build the working thing first — get the feature live with basic validation</w:t>
      </w:r>
    </w:p>
    <w:p>
      <w:pPr>
        <w:pStyle w:val="ListParagraph"/>
        <w:numPr>
          <w:ilvl w:val="0"/>
          <w:numId w:val="2"/>
        </w:numPr>
        <w:spacing w:after="40" w:before="40"/>
      </w:pPr>
      <w:r>
        <w:rPr>
          <w:rFonts w:ascii="Arial" w:cs="Arial" w:eastAsia="Arial" w:hAnsi="Arial"/>
          <w:color w:val="111827"/>
          <w:sz w:val="22"/>
          <w:szCs w:val="22"/>
        </w:rPr>
        <w:t xml:space="preserve">Observe in production — what is slow, what is breaking, what is being abused?</w:t>
      </w:r>
    </w:p>
    <w:p>
      <w:pPr>
        <w:pStyle w:val="ListParagraph"/>
        <w:numPr>
          <w:ilvl w:val="0"/>
          <w:numId w:val="2"/>
        </w:numPr>
        <w:spacing w:after="40" w:before="40"/>
      </w:pPr>
      <w:r>
        <w:rPr>
          <w:rFonts w:ascii="Arial" w:cs="Arial" w:eastAsia="Arial" w:hAnsi="Arial"/>
          <w:color w:val="111827"/>
          <w:sz w:val="22"/>
          <w:szCs w:val="22"/>
        </w:rPr>
        <w:t xml:space="preserve">Layer defenses iteratively — add rate limiting, caching, and monitoring one at a time</w:t>
      </w:r>
    </w:p>
    <w:p>
      <w:pPr>
        <w:spacing w:after="0" w:before="80"/>
      </w:pPr>
      <w:r>
        <w:t xml:space="preserve"/>
      </w:r>
    </w:p>
    <w:p>
      <w:pPr>
        <w:spacing w:after="100" w:before="60"/>
      </w:pPr>
      <w:r>
        <w:rPr>
          <w:rFonts w:ascii="Arial" w:cs="Arial" w:eastAsia="Arial" w:hAnsi="Arial"/>
          <w:color w:val="111827"/>
          <w:sz w:val="22"/>
          <w:szCs w:val="22"/>
        </w:rPr>
        <w:t xml:space="preserve">I use feature flags extensively. In Cambridge Station, the entire access-control enforcement matrix ships to production behind a single environment variable (ENTITLEMENT_ENFORCEMENT=enforce). During soft launch, the system is permissive. Flipping one variable activates paid-tier gating with zero redeployment and zero downtime.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1.3 Degrade Gracefully, Never Fail Completely</w:t>
      </w:r>
    </w:p>
    <w:p>
      <w:pPr>
        <w:spacing w:after="100" w:before="60"/>
      </w:pPr>
      <w:r>
        <w:rPr>
          <w:rFonts w:ascii="Arial" w:cs="Arial" w:eastAsia="Arial" w:hAnsi="Arial"/>
          <w:color w:val="111827"/>
          <w:sz w:val="22"/>
          <w:szCs w:val="22"/>
        </w:rPr>
        <w:t xml:space="preserve">Every external dependency I write has a specific, deliberate fallback. For example, in the auth layer, if the token_version column has not yet been migrated on an older database instance, the system detects the specific MySQL error code and falls back to plain JWT validation — it logs loudly so I can fix it, but the user never sees a 500. The same pattern runs through all external integrations: if the email dispatch fails after an inquiry is persisted to the database, the user still gets their 201 response and the team can access the inquiry via the admin queue.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1.4 Design for Observability From Day One</w:t>
      </w:r>
    </w:p>
    <w:p>
      <w:pPr>
        <w:spacing w:after="100" w:before="60"/>
      </w:pPr>
      <w:r>
        <w:rPr>
          <w:rFonts w:ascii="Arial" w:cs="Arial" w:eastAsia="Arial" w:hAnsi="Arial"/>
          <w:color w:val="111827"/>
          <w:sz w:val="22"/>
          <w:szCs w:val="22"/>
        </w:rPr>
        <w:t xml:space="preserve">Every API route I build has structured logging with correlation IDs injected by middleware. This means every log line is queryable by event, user_id, IP, email domain, error code, and request ID. When something breaks in production, I can trace the exact request path through every layer without guessing.</w:t>
      </w:r>
    </w:p>
    <w:p>
      <w:pPr>
        <w:pStyle w:val="ListParagraph"/>
        <w:numPr>
          <w:ilvl w:val="0"/>
          <w:numId w:val="2"/>
        </w:numPr>
        <w:spacing w:after="40" w:before="40"/>
      </w:pPr>
      <w:r>
        <w:rPr>
          <w:rFonts w:ascii="Arial" w:cs="Arial" w:eastAsia="Arial" w:hAnsi="Arial"/>
          <w:color w:val="111827"/>
          <w:sz w:val="22"/>
          <w:szCs w:val="22"/>
        </w:rPr>
        <w:t xml:space="preserve">Per-request UUID injected as x-request-id on every /api/* call</w:t>
      </w:r>
    </w:p>
    <w:p>
      <w:pPr>
        <w:pStyle w:val="ListParagraph"/>
        <w:numPr>
          <w:ilvl w:val="0"/>
          <w:numId w:val="2"/>
        </w:numPr>
        <w:spacing w:after="40" w:before="40"/>
      </w:pPr>
      <w:r>
        <w:rPr>
          <w:rFonts w:ascii="Arial" w:cs="Arial" w:eastAsia="Arial" w:hAnsi="Arial"/>
          <w:color w:val="111827"/>
          <w:sz w:val="22"/>
          <w:szCs w:val="22"/>
        </w:rPr>
        <w:t xml:space="preserve">Pino structured JSON logger with loggerForRequest() helper</w:t>
      </w:r>
    </w:p>
    <w:p>
      <w:pPr>
        <w:pStyle w:val="ListParagraph"/>
        <w:numPr>
          <w:ilvl w:val="0"/>
          <w:numId w:val="2"/>
        </w:numPr>
        <w:spacing w:after="40" w:before="40"/>
      </w:pPr>
      <w:r>
        <w:rPr>
          <w:rFonts w:ascii="Arial" w:cs="Arial" w:eastAsia="Arial" w:hAnsi="Arial"/>
          <w:color w:val="111827"/>
          <w:sz w:val="22"/>
          <w:szCs w:val="22"/>
        </w:rPr>
        <w:t xml:space="preserve">Security-critical events (password changes, session revocations, account deletion) persisted to an audit_log table</w:t>
      </w:r>
    </w:p>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2. How I Approach Problems</w:t>
      </w:r>
    </w:p>
    <w:p>
      <w:pPr>
        <w:spacing w:after="100" w:before="60"/>
      </w:pPr>
      <w:r>
        <w:rPr>
          <w:rFonts w:ascii="Arial" w:cs="Arial" w:eastAsia="Arial" w:hAnsi="Arial"/>
          <w:color w:val="111827"/>
          <w:sz w:val="22"/>
          <w:szCs w:val="22"/>
        </w:rPr>
        <w:t xml:space="preserve">My problem-solving process is systematic and evidence-driven. I break complex systems into layers, identify the constraint, and solve the hardest unknowns first.</w:t>
      </w:r>
    </w:p>
    <w:p>
      <w:pPr>
        <w:spacing w:after="0" w:before="80"/>
      </w:pPr>
      <w:r>
        <w:t xml:space="preserve"/>
      </w:r>
    </w:p>
    <w:p>
      <w:pPr>
        <w:pStyle w:val="Heading2"/>
        <w:spacing w:after="80" w:before="240"/>
      </w:pPr>
      <w:r>
        <w:rPr>
          <w:rFonts w:ascii="Arial" w:cs="Arial" w:eastAsia="Arial" w:hAnsi="Arial"/>
          <w:b/>
          <w:bCs/>
          <w:color w:val="2563EB"/>
          <w:sz w:val="24"/>
          <w:szCs w:val="24"/>
        </w:rPr>
        <w:t xml:space="preserve">2.1 Define the Contract First</w:t>
      </w:r>
    </w:p>
    <w:p>
      <w:pPr>
        <w:spacing w:after="100" w:before="60"/>
      </w:pPr>
      <w:r>
        <w:rPr>
          <w:rFonts w:ascii="Arial" w:cs="Arial" w:eastAsia="Arial" w:hAnsi="Arial"/>
          <w:color w:val="111827"/>
          <w:sz w:val="22"/>
          <w:szCs w:val="22"/>
        </w:rPr>
        <w:t xml:space="preserve">Before touching implementation, I define the contract: what are the inputs, what are the valid outputs, and what are the failure modes? This translates directly into Zod schemas for API validation and TypeScript types that flow from database models through API handlers into frontend components.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2.2 Three-Tier Testing Protocol</w:t>
      </w:r>
    </w:p>
    <w:p>
      <w:pPr>
        <w:spacing w:after="100" w:before="60"/>
      </w:pPr>
      <w:r>
        <w:rPr>
          <w:rFonts w:ascii="Arial" w:cs="Arial" w:eastAsia="Arial" w:hAnsi="Arial"/>
          <w:color w:val="111827"/>
          <w:sz w:val="22"/>
          <w:szCs w:val="22"/>
        </w:rPr>
        <w:t xml:space="preserve">Every feature I ship goes through a deliberate three-tier verification:</w:t>
      </w:r>
    </w:p>
    <w:p>
      <w:pPr>
        <w:spacing w:after="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000"/>
        <w:gridCol w:w="210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Tests</w:t>
            </w:r>
          </w:p>
        </w:tc>
        <w:tc>
          <w:tcPr>
            <w:tcW w:type="dxa" w:w="2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Happy Path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 requests return correct responses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cases pass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Failure Modes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Invalid requests are rejected safely</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 crashes, correct error codes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Latency within thresholds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P95 &lt; 200ms, no endpoint &gt; 500ms</w:t>
            </w:r>
          </w:p>
        </w:tc>
      </w:tr>
    </w:tbl>
    <w:p>
      <w:pPr>
        <w:spacing w:after="0" w:before="120"/>
      </w:pPr>
      <w:r>
        <w:t xml:space="preserve"/>
      </w:r>
    </w:p>
    <w:p>
      <w:pPr>
        <w:spacing w:after="100" w:before="60"/>
      </w:pPr>
      <w:r>
        <w:rPr>
          <w:rFonts w:ascii="Arial" w:cs="Arial" w:eastAsia="Arial" w:hAnsi="Arial"/>
          <w:color w:val="111827"/>
          <w:sz w:val="22"/>
          <w:szCs w:val="22"/>
        </w:rPr>
        <w:t xml:space="preserve">Failure mode tests are explicit — wrong passwords, missing required fields, duplicate emails, malformed JSON, SQL injection in search queries, XSS in input fields, negative pagination parameters. I test what I expect to break, not just what I expect to work.</w:t>
      </w:r>
    </w:p>
    <w:p>
      <w:pPr>
        <w:spacing w:after="0" w:before="80"/>
      </w:pPr>
      <w:r>
        <w:t xml:space="preserve"/>
      </w:r>
    </w:p>
    <w:p>
      <w:pPr>
        <w:pStyle w:val="Heading2"/>
        <w:spacing w:after="80" w:before="240"/>
      </w:pPr>
      <w:r>
        <w:rPr>
          <w:rFonts w:ascii="Arial" w:cs="Arial" w:eastAsia="Arial" w:hAnsi="Arial"/>
          <w:b/>
          <w:bCs/>
          <w:color w:val="2563EB"/>
          <w:sz w:val="24"/>
          <w:szCs w:val="24"/>
        </w:rPr>
        <w:t xml:space="preserve">2.3 Make the Right Thing Easy</w:t>
      </w:r>
    </w:p>
    <w:p>
      <w:pPr>
        <w:spacing w:after="100" w:before="60"/>
      </w:pPr>
      <w:r>
        <w:rPr>
          <w:rFonts w:ascii="Arial" w:cs="Arial" w:eastAsia="Arial" w:hAnsi="Arial"/>
          <w:color w:val="111827"/>
          <w:sz w:val="22"/>
          <w:szCs w:val="22"/>
        </w:rPr>
        <w:t xml:space="preserve">I invest in reusable abstractions that make correct patterns the path of least resistance:</w:t>
      </w:r>
    </w:p>
    <w:p>
      <w:pPr>
        <w:pStyle w:val="ListParagraph"/>
        <w:numPr>
          <w:ilvl w:val="0"/>
          <w:numId w:val="2"/>
        </w:numPr>
        <w:spacing w:after="40" w:before="40"/>
      </w:pPr>
      <w:r>
        <w:rPr>
          <w:rFonts w:ascii="Arial" w:cs="Arial" w:eastAsia="Arial" w:hAnsi="Arial"/>
          <w:color w:val="111827"/>
          <w:sz w:val="22"/>
          <w:szCs w:val="22"/>
        </w:rPr>
        <w:t xml:space="preserve">withEntitlement() wrapper — access control is automatic for any new paper endpoint, no repetition</w:t>
      </w:r>
    </w:p>
    <w:p>
      <w:pPr>
        <w:pStyle w:val="ListParagraph"/>
        <w:numPr>
          <w:ilvl w:val="0"/>
          <w:numId w:val="2"/>
        </w:numPr>
        <w:spacing w:after="40" w:before="40"/>
      </w:pPr>
      <w:r>
        <w:rPr>
          <w:rFonts w:ascii="Arial" w:cs="Arial" w:eastAsia="Arial" w:hAnsi="Arial"/>
          <w:color w:val="111827"/>
          <w:sz w:val="22"/>
          <w:szCs w:val="22"/>
        </w:rPr>
        <w:t xml:space="preserve">requireAdmin() — returns the user or a response in one line for every admin route</w:t>
      </w:r>
    </w:p>
    <w:p>
      <w:pPr>
        <w:pStyle w:val="ListParagraph"/>
        <w:numPr>
          <w:ilvl w:val="0"/>
          <w:numId w:val="2"/>
        </w:numPr>
        <w:spacing w:after="40" w:before="40"/>
      </w:pPr>
      <w:r>
        <w:rPr>
          <w:rFonts w:ascii="Arial" w:cs="Arial" w:eastAsia="Arial" w:hAnsi="Arial"/>
          <w:color w:val="111827"/>
          <w:sz w:val="22"/>
          <w:szCs w:val="22"/>
        </w:rPr>
        <w:t xml:space="preserve">getCached() — wraps any async fetcher with cache-then-fetch logic transparently</w:t>
      </w:r>
    </w:p>
    <w:p>
      <w:pPr>
        <w:pStyle w:val="ListParagraph"/>
        <w:numPr>
          <w:ilvl w:val="0"/>
          <w:numId w:val="2"/>
        </w:numPr>
        <w:spacing w:after="40" w:before="40"/>
      </w:pPr>
      <w:r>
        <w:rPr>
          <w:rFonts w:ascii="Arial" w:cs="Arial" w:eastAsia="Arial" w:hAnsi="Arial"/>
          <w:color w:val="111827"/>
          <w:sz w:val="22"/>
          <w:szCs w:val="22"/>
        </w:rPr>
        <w:t xml:space="preserve">checkRateLimit() — sliding-window rate limiter reused across all public endpoints</w:t>
      </w:r>
    </w:p>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3. Why I Choose Specific Technologies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3.1 Next.js App Router</w:t>
      </w:r>
    </w:p>
    <w:p>
      <w:pPr>
        <w:spacing w:after="100" w:before="60"/>
      </w:pPr>
      <w:r>
        <w:rPr>
          <w:rFonts w:ascii="Arial" w:cs="Arial" w:eastAsia="Arial" w:hAnsi="Arial"/>
          <w:color w:val="111827"/>
          <w:sz w:val="22"/>
          <w:szCs w:val="22"/>
        </w:rPr>
        <w:t xml:space="preserve">I chose Next.js for Cambridge Station over a separate Express backend + React frontend for concrete reasons:</w:t>
      </w:r>
    </w:p>
    <w:p>
      <w:pPr>
        <w:pStyle w:val="ListParagraph"/>
        <w:numPr>
          <w:ilvl w:val="0"/>
          <w:numId w:val="2"/>
        </w:numPr>
        <w:spacing w:after="40" w:before="40"/>
      </w:pPr>
      <w:r>
        <w:rPr>
          <w:rFonts w:ascii="Arial" w:cs="Arial" w:eastAsia="Arial" w:hAnsi="Arial"/>
          <w:b/>
          <w:bCs/>
          <w:color w:val="111827"/>
          <w:sz w:val="22"/>
          <w:szCs w:val="22"/>
        </w:rPr>
        <w:t xml:space="preserve">Co-located serverless functions scale to zero when idle and burst automatically — no separate server to provision, secure, or monitor </w:t>
      </w:r>
      <w:r>
        <w:rPr>
          <w:rFonts w:ascii="Arial" w:cs="Arial" w:eastAsia="Arial" w:hAnsi="Arial"/>
          <w:color w:val="111827"/>
          <w:sz w:val="22"/>
          <w:szCs w:val="22"/>
        </w:rPr>
        <w:t xml:space="preserve">Zero-ops API layer:</w:t>
      </w:r>
    </w:p>
    <w:p>
      <w:pPr>
        <w:pStyle w:val="ListParagraph"/>
        <w:numPr>
          <w:ilvl w:val="0"/>
          <w:numId w:val="2"/>
        </w:numPr>
        <w:spacing w:after="40" w:before="40"/>
      </w:pPr>
      <w:r>
        <w:rPr>
          <w:rFonts w:ascii="Arial" w:cs="Arial" w:eastAsia="Arial" w:hAnsi="Arial"/>
          <w:b/>
          <w:bCs/>
          <w:color w:val="111827"/>
          <w:sz w:val="22"/>
          <w:szCs w:val="22"/>
        </w:rPr>
        <w:t xml:space="preserve">Types flow from database models through API handlers into frontend components with no client generation step </w:t>
      </w:r>
      <w:r>
        <w:rPr>
          <w:rFonts w:ascii="Arial" w:cs="Arial" w:eastAsia="Arial" w:hAnsi="Arial"/>
          <w:color w:val="111827"/>
          <w:sz w:val="22"/>
          <w:szCs w:val="22"/>
        </w:rPr>
        <w:t xml:space="preserve">TypeScript end-to-end:</w:t>
      </w:r>
    </w:p>
    <w:p>
      <w:pPr>
        <w:pStyle w:val="ListParagraph"/>
        <w:numPr>
          <w:ilvl w:val="0"/>
          <w:numId w:val="2"/>
        </w:numPr>
        <w:spacing w:after="40" w:before="40"/>
      </w:pPr>
      <w:r>
        <w:rPr>
          <w:rFonts w:ascii="Arial" w:cs="Arial" w:eastAsia="Arial" w:hAnsi="Arial"/>
          <w:b/>
          <w:bCs/>
          <w:color w:val="111827"/>
          <w:sz w:val="22"/>
          <w:szCs w:val="22"/>
        </w:rPr>
        <w:t xml:space="preserve">Request ID injection and rate-limit pre-checks run at the CDN edge before hitting the function </w:t>
      </w:r>
      <w:r>
        <w:rPr>
          <w:rFonts w:ascii="Arial" w:cs="Arial" w:eastAsia="Arial" w:hAnsi="Arial"/>
          <w:color w:val="111827"/>
          <w:sz w:val="22"/>
          <w:szCs w:val="22"/>
        </w:rPr>
        <w:t xml:space="preserve">Edge middleware:</w:t>
      </w:r>
    </w:p>
    <w:p>
      <w:pPr>
        <w:pStyle w:val="ListParagraph"/>
        <w:numPr>
          <w:ilvl w:val="0"/>
          <w:numId w:val="2"/>
        </w:numPr>
        <w:spacing w:after="40" w:before="40"/>
      </w:pPr>
      <w:r>
        <w:rPr>
          <w:rFonts w:ascii="Arial" w:cs="Arial" w:eastAsia="Arial" w:hAnsi="Arial"/>
          <w:b/>
          <w:bCs/>
          <w:color w:val="111827"/>
          <w:sz w:val="22"/>
          <w:szCs w:val="22"/>
        </w:rPr>
        <w:t xml:space="preserve">The mental model is simple — the file tree is the route tree </w:t>
      </w:r>
      <w:r>
        <w:rPr>
          <w:rFonts w:ascii="Arial" w:cs="Arial" w:eastAsia="Arial" w:hAnsi="Arial"/>
          <w:color w:val="111827"/>
          <w:sz w:val="22"/>
          <w:szCs w:val="22"/>
        </w:rPr>
        <w:t xml:space="preserve">Route co-location:</w:t>
      </w:r>
    </w:p>
    <w:p>
      <w:pPr>
        <w:spacing w:after="0" w:before="80"/>
      </w:pPr>
      <w:r>
        <w:t xml:space="preserve"/>
      </w:r>
    </w:p>
    <w:p>
      <w:pPr>
        <w:pStyle w:val="Heading2"/>
        <w:spacing w:after="80" w:before="240"/>
      </w:pPr>
      <w:r>
        <w:rPr>
          <w:rFonts w:ascii="Arial" w:cs="Arial" w:eastAsia="Arial" w:hAnsi="Arial"/>
          <w:b/>
          <w:bCs/>
          <w:color w:val="2563EB"/>
          <w:sz w:val="24"/>
          <w:szCs w:val="24"/>
        </w:rPr>
        <w:t xml:space="preserve">3.2 Raw SQL Over ORMs</w:t>
      </w:r>
    </w:p>
    <w:p>
      <w:pPr>
        <w:spacing w:after="100" w:before="60"/>
      </w:pPr>
      <w:r>
        <w:rPr>
          <w:rFonts w:ascii="Arial" w:cs="Arial" w:eastAsia="Arial" w:hAnsi="Arial"/>
          <w:color w:val="111827"/>
          <w:sz w:val="22"/>
          <w:szCs w:val="22"/>
        </w:rPr>
        <w:t xml:space="preserve">I use mysql2/promise with raw parameterized queries instead of an ORM. The reasons are concrete:</w:t>
      </w:r>
    </w:p>
    <w:p>
      <w:pPr>
        <w:pStyle w:val="ListParagraph"/>
        <w:numPr>
          <w:ilvl w:val="0"/>
          <w:numId w:val="2"/>
        </w:numPr>
        <w:spacing w:after="40" w:before="40"/>
      </w:pPr>
      <w:r>
        <w:rPr>
          <w:rFonts w:ascii="Arial" w:cs="Arial" w:eastAsia="Arial" w:hAnsi="Arial"/>
          <w:color w:val="111827"/>
          <w:sz w:val="22"/>
          <w:szCs w:val="22"/>
        </w:rPr>
        <w:t xml:space="preserve">Full query control — parallel Promise.all queries, custom relevance scoring, tuned indexes</w:t>
      </w:r>
    </w:p>
    <w:p>
      <w:pPr>
        <w:pStyle w:val="ListParagraph"/>
        <w:numPr>
          <w:ilvl w:val="0"/>
          <w:numId w:val="2"/>
        </w:numPr>
        <w:spacing w:after="40" w:before="40"/>
      </w:pPr>
      <w:r>
        <w:rPr>
          <w:rFonts w:ascii="Arial" w:cs="Arial" w:eastAsia="Arial" w:hAnsi="Arial"/>
          <w:color w:val="111827"/>
          <w:sz w:val="22"/>
          <w:szCs w:val="22"/>
        </w:rPr>
        <w:t xml:space="preserve">No N+1 surprises — ORM query generation is hidden; raw SQL makes every query visible</w:t>
      </w:r>
    </w:p>
    <w:p>
      <w:pPr>
        <w:pStyle w:val="ListParagraph"/>
        <w:numPr>
          <w:ilvl w:val="0"/>
          <w:numId w:val="2"/>
        </w:numPr>
        <w:spacing w:after="40" w:before="40"/>
      </w:pPr>
      <w:r>
        <w:rPr>
          <w:rFonts w:ascii="Arial" w:cs="Arial" w:eastAsia="Arial" w:hAnsi="Arial"/>
          <w:color w:val="111827"/>
          <w:sz w:val="22"/>
          <w:szCs w:val="22"/>
        </w:rPr>
        <w:t xml:space="preserve">Migration transparency — SQL files are the source of truth, column names match exactly</w:t>
      </w:r>
    </w:p>
    <w:p>
      <w:pPr>
        <w:pStyle w:val="ListParagraph"/>
        <w:numPr>
          <w:ilvl w:val="0"/>
          <w:numId w:val="2"/>
        </w:numPr>
        <w:spacing w:after="40" w:before="40"/>
      </w:pPr>
      <w:r>
        <w:rPr>
          <w:rFonts w:ascii="Arial" w:cs="Arial" w:eastAsia="Arial" w:hAnsi="Arial"/>
          <w:color w:val="111827"/>
          <w:sz w:val="22"/>
          <w:szCs w:val="22"/>
        </w:rPr>
        <w:t xml:space="preserve">Smaller bundle — mysql2 is ~2MB vs Sequelize at ~15MB+, directly reducing cold start time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3.3 JWT in HTTP-Only Cookies</w:t>
      </w:r>
    </w:p>
    <w:p>
      <w:pPr>
        <w:spacing w:after="100" w:before="60"/>
      </w:pPr>
      <w:r>
        <w:rPr>
          <w:rFonts w:ascii="Arial" w:cs="Arial" w:eastAsia="Arial" w:hAnsi="Arial"/>
          <w:color w:val="111827"/>
          <w:sz w:val="22"/>
          <w:szCs w:val="22"/>
        </w:rPr>
        <w:t xml:space="preserve">Auth tokens live in HTTP-only, Secure cookies — not localStorage or Authorization headers:</w:t>
      </w:r>
    </w:p>
    <w:p>
      <w:pPr>
        <w:pStyle w:val="ListParagraph"/>
        <w:numPr>
          <w:ilvl w:val="0"/>
          <w:numId w:val="2"/>
        </w:numPr>
        <w:spacing w:after="40" w:before="40"/>
      </w:pPr>
      <w:r>
        <w:rPr>
          <w:rFonts w:ascii="Arial" w:cs="Arial" w:eastAsia="Arial" w:hAnsi="Arial"/>
          <w:color w:val="111827"/>
          <w:sz w:val="22"/>
          <w:szCs w:val="22"/>
        </w:rPr>
        <w:t xml:space="preserve">XSS-resistant — JavaScript cannot read HTTP-only cookies, even with a script injection</w:t>
      </w:r>
    </w:p>
    <w:p>
      <w:pPr>
        <w:pStyle w:val="ListParagraph"/>
        <w:numPr>
          <w:ilvl w:val="0"/>
          <w:numId w:val="2"/>
        </w:numPr>
        <w:spacing w:after="40" w:before="40"/>
      </w:pPr>
      <w:r>
        <w:rPr>
          <w:rFonts w:ascii="Arial" w:cs="Arial" w:eastAsia="Arial" w:hAnsi="Arial"/>
          <w:color w:val="111827"/>
          <w:sz w:val="22"/>
          <w:szCs w:val="22"/>
        </w:rPr>
        <w:t xml:space="preserve">No client-side interceptors — the browser sends the cookie automatically on every request</w:t>
      </w:r>
    </w:p>
    <w:p>
      <w:pPr>
        <w:pStyle w:val="ListParagraph"/>
        <w:numPr>
          <w:ilvl w:val="0"/>
          <w:numId w:val="2"/>
        </w:numPr>
        <w:spacing w:after="40" w:before="40"/>
      </w:pPr>
      <w:r>
        <w:rPr>
          <w:rFonts w:ascii="Arial" w:cs="Arial" w:eastAsia="Arial" w:hAnsi="Arial"/>
          <w:color w:val="111827"/>
          <w:sz w:val="22"/>
          <w:szCs w:val="22"/>
        </w:rPr>
        <w:t xml:space="preserve">SameSite=Lax — cross-site POSTs do not send the cookie, mitigating CSRF without extra middleware</w:t>
      </w:r>
    </w:p>
    <w:p>
      <w:pPr>
        <w:pStyle w:val="ListParagraph"/>
        <w:numPr>
          <w:ilvl w:val="0"/>
          <w:numId w:val="2"/>
        </w:numPr>
        <w:spacing w:after="40" w:before="40"/>
      </w:pPr>
      <w:r>
        <w:rPr>
          <w:rFonts w:ascii="Arial" w:cs="Arial" w:eastAsia="Arial" w:hAnsi="Arial"/>
          <w:color w:val="111827"/>
          <w:sz w:val="22"/>
          <w:szCs w:val="22"/>
        </w:rPr>
        <w:t xml:space="preserve">Token versioning — incrementing a DB column instantly invalidates all existing sessions without a Redis blacklist</w:t>
      </w:r>
    </w:p>
    <w:p>
      <w:pPr>
        <w:spacing w:after="0" w:before="80"/>
      </w:pPr>
      <w:r>
        <w:t xml:space="preserve"/>
      </w:r>
    </w:p>
    <w:p>
      <w:pPr>
        <w:pStyle w:val="Heading2"/>
        <w:spacing w:after="80" w:before="240"/>
      </w:pPr>
      <w:r>
        <w:rPr>
          <w:rFonts w:ascii="Arial" w:cs="Arial" w:eastAsia="Arial" w:hAnsi="Arial"/>
          <w:b/>
          <w:bCs/>
          <w:color w:val="2563EB"/>
          <w:sz w:val="24"/>
          <w:szCs w:val="24"/>
        </w:rPr>
        <w:t xml:space="preserve">3.4 S3 + Presigned URLs for File Delivery</w:t>
      </w:r>
    </w:p>
    <w:p>
      <w:pPr>
        <w:spacing w:after="100" w:before="60"/>
      </w:pPr>
      <w:r>
        <w:rPr>
          <w:rFonts w:ascii="Arial" w:cs="Arial" w:eastAsia="Arial" w:hAnsi="Arial"/>
          <w:color w:val="111827"/>
          <w:sz w:val="22"/>
          <w:szCs w:val="22"/>
        </w:rPr>
        <w:t xml:space="preserve">Files are never served directly from the origin. The API route validates subscription tier before generating a presigned URL with a 1-hour expiry. This means no hotlinking, no bypassing access control, and cost-efficient storage at $0.023/GB/month.</w:t>
      </w:r>
    </w:p>
    <w:p>
      <w:pPr>
        <w:spacing w:after="0" w:before="80"/>
      </w:pPr>
      <w:r>
        <w:t xml:space="preserve"/>
      </w:r>
    </w:p>
    <w:p>
      <w:pPr>
        <w:pStyle w:val="Heading2"/>
        <w:spacing w:after="80" w:before="240"/>
      </w:pPr>
      <w:r>
        <w:rPr>
          <w:rFonts w:ascii="Arial" w:cs="Arial" w:eastAsia="Arial" w:hAnsi="Arial"/>
          <w:b/>
          <w:bCs/>
          <w:color w:val="2563EB"/>
          <w:sz w:val="24"/>
          <w:szCs w:val="24"/>
        </w:rPr>
        <w:t xml:space="preserve">3.5 Serverless-First Email</w:t>
      </w:r>
    </w:p>
    <w:p>
      <w:pPr>
        <w:spacing w:after="100" w:before="60"/>
      </w:pPr>
      <w:r>
        <w:rPr>
          <w:rFonts w:ascii="Arial" w:cs="Arial" w:eastAsia="Arial" w:hAnsi="Arial"/>
          <w:color w:val="111827"/>
          <w:sz w:val="22"/>
          <w:szCs w:val="22"/>
        </w:rPr>
        <w:t xml:space="preserve">Brevo (REST API) for transactional OTP emails — a single fetch() call, no SMTP connection pooling, no timeout management, ideal for cold-starting serverless functions. Free tier at 300 emails/day is sufficient at startup scale.</w:t>
      </w:r>
    </w:p>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4. Code Structure &amp; Patterns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4.1 Module Isolation</w:t>
      </w:r>
    </w:p>
    <w:p>
      <w:pPr>
        <w:spacing w:after="100" w:before="60"/>
      </w:pPr>
      <w:r>
        <w:rPr>
          <w:rFonts w:ascii="Arial" w:cs="Arial" w:eastAsia="Arial" w:hAnsi="Arial"/>
          <w:color w:val="111827"/>
          <w:sz w:val="22"/>
          <w:szCs w:val="22"/>
        </w:rPr>
        <w:t xml:space="preserve">Every lib/*.ts file does exactly one thing and exports a focused API. No module bleeds into another's responsibility: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lib/db.ts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MySQL connection pool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lib/auth.ts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JWT sign/verify + fresh-user check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lib/access-control.ts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Subscription tier matrix</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lib/rate-limit.ts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Sliding-window rate limiter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lib/cache.ts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TTL cache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lib/email.ts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Brevo transactional email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lib/s3.ts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S3 upload/download/presigned URLs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lib/audit.ts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Security audit event persistence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lib/server-logger.ts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Pino structured logger with request correlation</w:t>
            </w:r>
          </w:p>
        </w:tc>
      </w:tr>
    </w:tbl>
    <w:p>
      <w:pPr>
        <w:spacing w:after="0" w:before="120"/>
      </w:pPr>
      <w:r>
        <w:t xml:space="preserve"/>
      </w:r>
    </w:p>
    <w:p>
      <w:pPr>
        <w:pStyle w:val="Heading2"/>
        <w:spacing w:after="80" w:before="240"/>
      </w:pPr>
      <w:r>
        <w:rPr>
          <w:rFonts w:ascii="Arial" w:cs="Arial" w:eastAsia="Arial" w:hAnsi="Arial"/>
          <w:b/>
          <w:bCs/>
          <w:color w:val="2563EB"/>
          <w:sz w:val="24"/>
          <w:szCs w:val="24"/>
        </w:rPr>
        <w:t xml:space="preserve">4.2 Higher-Order Functions for Cross-Cutting Concerns</w:t>
      </w:r>
    </w:p>
    <w:p>
      <w:pPr>
        <w:spacing w:after="100" w:before="60"/>
      </w:pPr>
      <w:r>
        <w:rPr>
          <w:rFonts w:ascii="Arial" w:cs="Arial" w:eastAsia="Arial" w:hAnsi="Arial"/>
          <w:color w:val="111827"/>
          <w:sz w:val="22"/>
          <w:szCs w:val="22"/>
        </w:rPr>
        <w:t xml:space="preserve">Instead of repeating auth checks across 30+ route handlers, I write reusable wrappers that make correct behavior the default:</w:t>
      </w:r>
    </w:p>
    <w:p>
      <w:pPr>
        <w:pStyle w:val="ListParagraph"/>
        <w:numPr>
          <w:ilvl w:val="0"/>
          <w:numId w:val="2"/>
        </w:numPr>
        <w:spacing w:after="40" w:before="40"/>
      </w:pPr>
      <w:r>
        <w:rPr>
          <w:rFonts w:ascii="Arial" w:cs="Arial" w:eastAsia="Arial" w:hAnsi="Arial"/>
          <w:color w:val="111827"/>
          <w:sz w:val="22"/>
          <w:szCs w:val="22"/>
        </w:rPr>
        <w:t xml:space="preserve">withEntitlement() injects the authenticated user and resolved paper into the handler — access control cannot be accidentally skipped</w:t>
      </w:r>
    </w:p>
    <w:p>
      <w:pPr>
        <w:pStyle w:val="ListParagraph"/>
        <w:numPr>
          <w:ilvl w:val="0"/>
          <w:numId w:val="2"/>
        </w:numPr>
        <w:spacing w:after="40" w:before="40"/>
      </w:pPr>
      <w:r>
        <w:rPr>
          <w:rFonts w:ascii="Arial" w:cs="Arial" w:eastAsia="Arial" w:hAnsi="Arial"/>
          <w:color w:val="111827"/>
          <w:sz w:val="22"/>
          <w:szCs w:val="22"/>
        </w:rPr>
        <w:t xml:space="preserve">requireAdmin() returns either the admin user or a 403 response — one line per admin route</w:t>
      </w:r>
    </w:p>
    <w:p>
      <w:pPr>
        <w:pStyle w:val="ListParagraph"/>
        <w:numPr>
          <w:ilvl w:val="0"/>
          <w:numId w:val="2"/>
        </w:numPr>
        <w:spacing w:after="40" w:before="40"/>
      </w:pPr>
      <w:r>
        <w:rPr>
          <w:rFonts w:ascii="Arial" w:cs="Arial" w:eastAsia="Arial" w:hAnsi="Arial"/>
          <w:color w:val="111827"/>
          <w:sz w:val="22"/>
          <w:szCs w:val="22"/>
        </w:rPr>
        <w:t xml:space="preserve">Each wrapper is independently testable — pass a mock context without needing real cookies or a live database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4.3 Consistent API Route Convention</w:t>
      </w:r>
    </w:p>
    <w:p>
      <w:pPr>
        <w:spacing w:after="100" w:before="60"/>
      </w:pPr>
      <w:r>
        <w:rPr>
          <w:rFonts w:ascii="Arial" w:cs="Arial" w:eastAsia="Arial" w:hAnsi="Arial"/>
          <w:color w:val="111827"/>
          <w:sz w:val="22"/>
          <w:szCs w:val="22"/>
        </w:rPr>
        <w:t xml:space="preserve">Every API route file follows the same structure: runtime declaration, caching strategy, then the handler in order — request parsing, validation, authorization, business logic, structured logging, response. This makes any route immediately readable by anyone on the team.</w:t>
      </w:r>
    </w:p>
    <w:p>
      <w:pPr>
        <w:spacing w:after="0" w:before="80"/>
      </w:pPr>
      <w:r>
        <w:t xml:space="preserve"/>
      </w:r>
    </w:p>
    <w:p>
      <w:pPr>
        <w:pStyle w:val="Heading2"/>
        <w:spacing w:after="80" w:before="240"/>
      </w:pPr>
      <w:r>
        <w:rPr>
          <w:rFonts w:ascii="Arial" w:cs="Arial" w:eastAsia="Arial" w:hAnsi="Arial"/>
          <w:b/>
          <w:bCs/>
          <w:color w:val="2563EB"/>
          <w:sz w:val="24"/>
          <w:szCs w:val="24"/>
        </w:rPr>
        <w:t xml:space="preserve">4.4 Comments Explain Why, Not What</w:t>
      </w:r>
    </w:p>
    <w:p>
      <w:pPr>
        <w:spacing w:after="100" w:before="60"/>
      </w:pPr>
      <w:r>
        <w:rPr>
          <w:rFonts w:ascii="Arial" w:cs="Arial" w:eastAsia="Arial" w:hAnsi="Arial"/>
          <w:color w:val="111827"/>
          <w:sz w:val="22"/>
          <w:szCs w:val="22"/>
        </w:rPr>
        <w:t xml:space="preserve">Code should be self-documenting through naming and types. Comments fill in the gaps: external service quirks, non-obvious edge cases, and historical decisions. A comment like "FormSubmit rejects server-side fetches that lack an Origin/Referer header" saves the next developer an hour of debugging.</w:t>
      </w:r>
    </w:p>
    <w:p>
      <w:pPr>
        <w:spacing w:after="0" w:before="80"/>
      </w:pPr>
      <w:r>
        <w:t xml:space="preserve"/>
      </w:r>
    </w:p>
    <w:p>
      <w:pPr>
        <w:pStyle w:val="Heading2"/>
        <w:spacing w:after="80" w:before="240"/>
      </w:pPr>
      <w:r>
        <w:rPr>
          <w:rFonts w:ascii="Arial" w:cs="Arial" w:eastAsia="Arial" w:hAnsi="Arial"/>
          <w:b/>
          <w:bCs/>
          <w:color w:val="2563EB"/>
          <w:sz w:val="24"/>
          <w:szCs w:val="24"/>
        </w:rPr>
        <w:t xml:space="preserve">4.5 Security Defense-in-Depth Table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Protects Against</w:t>
            </w:r>
          </w:p>
        </w:tc>
        <w:tc>
          <w:tcPr>
            <w:tcW w:type="dxa" w:w="4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validation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Malformed data, injection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Zod schemas + regex validators + control char stripping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Origin checking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CSRF</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Origin allowlist on all state-changing endpoints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Brute force, abuse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Sliding-window per-IP (memory) + per-email DB cap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Unauthorized access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JWT in HTTP-only cookie with token versioning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Authorization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Privilege escalation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requireAdmin(), withEntitlement(), subscription matrix</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Honeypots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Bot submissions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Invisible field, silently discard with fake 201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 sanitization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XSS, email injection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stripCtrl() for headers, CSP headers in Next.js config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Audit logging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Accountability, forensics</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audit_log table with IP, user_id, metadata</w:t>
            </w:r>
          </w:p>
        </w:tc>
      </w:tr>
    </w:tbl>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5. DevOps &amp; Infrastructure Skills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5.1 Production Stack Architecture</w:t>
      </w:r>
    </w:p>
    <w:p>
      <w:pPr>
        <w:spacing w:after="100" w:before="60"/>
      </w:pPr>
      <w:r>
        <w:rPr>
          <w:rFonts w:ascii="Arial" w:cs="Arial" w:eastAsia="Arial" w:hAnsi="Arial"/>
          <w:color w:val="111827"/>
          <w:sz w:val="22"/>
          <w:szCs w:val="22"/>
        </w:rPr>
        <w:t xml:space="preserve">Cambridge Station runs entirely on managed cloud infrastructure. No self-managed VMs, no manually patched servers: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 API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(Edge + Serverless)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App Router, serverless functions, edge middleware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AWS RDS MySQL 8.0</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db.t3.small, ap-south-1, automatic backups, PITR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Storage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AWS S3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cambridge-station-bucket, ap-south-1, presigned URL access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CDN (Planned)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AWS CloudFront</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Global edge caching for PDF delivery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Brevo + FormSubmit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 API transactional, sender domain verification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Razorpay</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Order creation + server-side signature verification</w:t>
            </w:r>
          </w:p>
        </w:tc>
      </w:tr>
    </w:tbl>
    <w:p>
      <w:pPr>
        <w:spacing w:after="0" w:before="120"/>
      </w:pPr>
      <w:r>
        <w:t xml:space="preserve"/>
      </w:r>
    </w:p>
    <w:p>
      <w:pPr>
        <w:pStyle w:val="Heading2"/>
        <w:spacing w:after="80" w:before="240"/>
      </w:pPr>
      <w:r>
        <w:rPr>
          <w:rFonts w:ascii="Arial" w:cs="Arial" w:eastAsia="Arial" w:hAnsi="Arial"/>
          <w:b/>
          <w:bCs/>
          <w:color w:val="2563EB"/>
          <w:sz w:val="24"/>
          <w:szCs w:val="24"/>
        </w:rPr>
        <w:t xml:space="preserve">5.2 AWS Integration</w:t>
      </w:r>
    </w:p>
    <w:p>
      <w:pPr>
        <w:spacing w:after="100" w:before="60"/>
      </w:pPr>
      <w:r>
        <w:rPr>
          <w:rFonts w:ascii="Arial" w:cs="Arial" w:eastAsia="Arial" w:hAnsi="Arial"/>
          <w:color w:val="111827"/>
          <w:sz w:val="22"/>
          <w:szCs w:val="22"/>
        </w:rPr>
        <w:t xml:space="preserve">I have hands-on production experience with:</w:t>
      </w:r>
    </w:p>
    <w:p>
      <w:pPr>
        <w:pStyle w:val="ListParagraph"/>
        <w:numPr>
          <w:ilvl w:val="0"/>
          <w:numId w:val="2"/>
        </w:numPr>
        <w:spacing w:after="40" w:before="40"/>
      </w:pPr>
      <w:r>
        <w:rPr>
          <w:rFonts w:ascii="Arial" w:cs="Arial" w:eastAsia="Arial" w:hAnsi="Arial"/>
          <w:color w:val="111827"/>
          <w:sz w:val="22"/>
          <w:szCs w:val="22"/>
        </w:rPr>
        <w:t xml:space="preserve">AWS RDS — provisioning, configuring security groups, VPC access, connection pooling via mysql2, query-level index optimization</w:t>
      </w:r>
    </w:p>
    <w:p>
      <w:pPr>
        <w:pStyle w:val="ListParagraph"/>
        <w:numPr>
          <w:ilvl w:val="0"/>
          <w:numId w:val="2"/>
        </w:numPr>
        <w:spacing w:after="40" w:before="40"/>
      </w:pPr>
      <w:r>
        <w:rPr>
          <w:rFonts w:ascii="Arial" w:cs="Arial" w:eastAsia="Arial" w:hAnsi="Arial"/>
          <w:color w:val="111827"/>
          <w:sz w:val="22"/>
          <w:szCs w:val="22"/>
        </w:rPr>
        <w:t xml:space="preserve">AWS S3 — PutObjectCommand, GetObjectCommand, presigned URL generation with expiry, streaming proxy through the Next.js server, content-type detection, organized key namespacing</w:t>
      </w:r>
    </w:p>
    <w:p>
      <w:pPr>
        <w:pStyle w:val="ListParagraph"/>
        <w:numPr>
          <w:ilvl w:val="0"/>
          <w:numId w:val="2"/>
        </w:numPr>
        <w:spacing w:after="40" w:before="40"/>
      </w:pPr>
      <w:r>
        <w:rPr>
          <w:rFonts w:ascii="Arial" w:cs="Arial" w:eastAsia="Arial" w:hAnsi="Arial"/>
          <w:color w:val="111827"/>
          <w:sz w:val="22"/>
          <w:szCs w:val="22"/>
        </w:rPr>
        <w:t xml:space="preserve">AWS IAM — least-privilege access key scoping for RDS and S3 independently</w:t>
      </w:r>
    </w:p>
    <w:p>
      <w:pPr>
        <w:pStyle w:val="ListParagraph"/>
        <w:numPr>
          <w:ilvl w:val="0"/>
          <w:numId w:val="2"/>
        </w:numPr>
        <w:spacing w:after="40" w:before="40"/>
      </w:pPr>
      <w:r>
        <w:rPr>
          <w:rFonts w:ascii="Arial" w:cs="Arial" w:eastAsia="Arial" w:hAnsi="Arial"/>
          <w:color w:val="111827"/>
          <w:sz w:val="22"/>
          <w:szCs w:val="22"/>
        </w:rPr>
        <w:t xml:space="preserve">Cloudflare R2 — bucket creation, pricing model, Worker integration patterns, wrangler configuration</w:t>
      </w:r>
    </w:p>
    <w:p>
      <w:pPr>
        <w:spacing w:after="0" w:before="80"/>
      </w:pPr>
      <w:r>
        <w:t xml:space="preserve"/>
      </w:r>
    </w:p>
    <w:p>
      <w:pPr>
        <w:pStyle w:val="Heading2"/>
        <w:spacing w:after="80" w:before="240"/>
      </w:pPr>
      <w:r>
        <w:rPr>
          <w:rFonts w:ascii="Arial" w:cs="Arial" w:eastAsia="Arial" w:hAnsi="Arial"/>
          <w:b/>
          <w:bCs/>
          <w:color w:val="2563EB"/>
          <w:sz w:val="24"/>
          <w:szCs w:val="24"/>
        </w:rPr>
        <w:t xml:space="preserve">5.3 Vercel / Serverless Deployment</w:t>
      </w:r>
    </w:p>
    <w:p>
      <w:pPr>
        <w:pStyle w:val="ListParagraph"/>
        <w:numPr>
          <w:ilvl w:val="0"/>
          <w:numId w:val="2"/>
        </w:numPr>
        <w:spacing w:after="40" w:before="40"/>
      </w:pPr>
      <w:r>
        <w:rPr>
          <w:rFonts w:ascii="Arial" w:cs="Arial" w:eastAsia="Arial" w:hAnsi="Arial"/>
          <w:color w:val="111827"/>
          <w:sz w:val="22"/>
          <w:szCs w:val="22"/>
        </w:rPr>
        <w:t xml:space="preserve">Environment variable management for dark-launch toggles and secrets</w:t>
      </w:r>
    </w:p>
    <w:p>
      <w:pPr>
        <w:pStyle w:val="ListParagraph"/>
        <w:numPr>
          <w:ilvl w:val="0"/>
          <w:numId w:val="2"/>
        </w:numPr>
        <w:spacing w:after="40" w:before="40"/>
      </w:pPr>
      <w:r>
        <w:rPr>
          <w:rFonts w:ascii="Arial" w:cs="Arial" w:eastAsia="Arial" w:hAnsi="Arial"/>
          <w:color w:val="111827"/>
          <w:sz w:val="22"/>
          <w:szCs w:val="22"/>
        </w:rPr>
        <w:t xml:space="preserve">Runtime declarations (nodejs vs edge) with deliberate trade-off reasoning</w:t>
      </w:r>
    </w:p>
    <w:p>
      <w:pPr>
        <w:pStyle w:val="ListParagraph"/>
        <w:numPr>
          <w:ilvl w:val="0"/>
          <w:numId w:val="2"/>
        </w:numPr>
        <w:spacing w:after="40" w:before="40"/>
      </w:pPr>
      <w:r>
        <w:rPr>
          <w:rFonts w:ascii="Arial" w:cs="Arial" w:eastAsia="Arial" w:hAnsi="Arial"/>
          <w:color w:val="111827"/>
          <w:sz w:val="22"/>
          <w:szCs w:val="22"/>
        </w:rPr>
        <w:t xml:space="preserve">Cold start mitigation via in-memory caching and bundle size optimization</w:t>
      </w:r>
    </w:p>
    <w:p>
      <w:pPr>
        <w:pStyle w:val="ListParagraph"/>
        <w:numPr>
          <w:ilvl w:val="0"/>
          <w:numId w:val="2"/>
        </w:numPr>
        <w:spacing w:after="40" w:before="40"/>
      </w:pPr>
      <w:r>
        <w:rPr>
          <w:rFonts w:ascii="Arial" w:cs="Arial" w:eastAsia="Arial" w:hAnsi="Arial"/>
          <w:color w:val="111827"/>
          <w:sz w:val="22"/>
          <w:szCs w:val="22"/>
        </w:rPr>
        <w:t xml:space="preserve">Instant rollback via vercel rollback --prod</w:t>
      </w:r>
    </w:p>
    <w:p>
      <w:pPr>
        <w:pStyle w:val="ListParagraph"/>
        <w:numPr>
          <w:ilvl w:val="0"/>
          <w:numId w:val="2"/>
        </w:numPr>
        <w:spacing w:after="40" w:before="40"/>
      </w:pPr>
      <w:r>
        <w:rPr>
          <w:rFonts w:ascii="Arial" w:cs="Arial" w:eastAsia="Arial" w:hAnsi="Arial"/>
          <w:color w:val="111827"/>
          <w:sz w:val="22"/>
          <w:szCs w:val="22"/>
        </w:rPr>
        <w:t xml:space="preserve">Edge middleware for cross-cutting concerns (request IDs, pre-checks)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5.4 CI/CD Pipeline Design</w:t>
      </w:r>
    </w:p>
    <w:p>
      <w:pPr>
        <w:spacing w:after="100" w:before="60"/>
      </w:pPr>
      <w:r>
        <w:rPr>
          <w:rFonts w:ascii="Arial" w:cs="Arial" w:eastAsia="Arial" w:hAnsi="Arial"/>
          <w:color w:val="111827"/>
          <w:sz w:val="22"/>
          <w:szCs w:val="22"/>
        </w:rPr>
        <w:t xml:space="preserve">Planned pipeline: Push to main → GitHub Actions → lint → typecheck → test → build → deploy → smoke tests → notify. Rollback is instantaneous without a redeployment, triggered by a single CLI command or dashboard action.</w:t>
      </w:r>
    </w:p>
    <w:p>
      <w:pPr>
        <w:spacing w:after="0" w:before="80"/>
      </w:pPr>
      <w:r>
        <w:t xml:space="preserve"/>
      </w:r>
    </w:p>
    <w:p>
      <w:pPr>
        <w:pStyle w:val="Heading2"/>
        <w:spacing w:after="80" w:before="240"/>
      </w:pPr>
      <w:r>
        <w:rPr>
          <w:rFonts w:ascii="Arial" w:cs="Arial" w:eastAsia="Arial" w:hAnsi="Arial"/>
          <w:b/>
          <w:bCs/>
          <w:color w:val="2563EB"/>
          <w:sz w:val="24"/>
          <w:szCs w:val="24"/>
        </w:rPr>
        <w:t xml:space="preserve">5.5 DNS, SSL &amp; Security Headers</w:t>
      </w:r>
    </w:p>
    <w:p>
      <w:pPr>
        <w:pStyle w:val="ListParagraph"/>
        <w:numPr>
          <w:ilvl w:val="0"/>
          <w:numId w:val="2"/>
        </w:numPr>
        <w:spacing w:after="40" w:before="40"/>
      </w:pPr>
      <w:r>
        <w:rPr>
          <w:rFonts w:ascii="Arial" w:cs="Arial" w:eastAsia="Arial" w:hAnsi="Arial"/>
          <w:color w:val="111827"/>
          <w:sz w:val="22"/>
          <w:szCs w:val="22"/>
        </w:rPr>
        <w:t xml:space="preserve">Domain configuration with A/CNAME records pointing to Vercel edge network</w:t>
      </w:r>
    </w:p>
    <w:p>
      <w:pPr>
        <w:pStyle w:val="ListParagraph"/>
        <w:numPr>
          <w:ilvl w:val="0"/>
          <w:numId w:val="2"/>
        </w:numPr>
        <w:spacing w:after="40" w:before="40"/>
      </w:pPr>
      <w:r>
        <w:rPr>
          <w:rFonts w:ascii="Arial" w:cs="Arial" w:eastAsia="Arial" w:hAnsi="Arial"/>
          <w:color w:val="111827"/>
          <w:sz w:val="22"/>
          <w:szCs w:val="22"/>
        </w:rPr>
        <w:t xml:space="preserve">Automatic SSL via Let's Encrypt with HSTS preload (max-age=31536000; includeSubDomains)</w:t>
      </w:r>
    </w:p>
    <w:p>
      <w:pPr>
        <w:pStyle w:val="ListParagraph"/>
        <w:numPr>
          <w:ilvl w:val="0"/>
          <w:numId w:val="2"/>
        </w:numPr>
        <w:spacing w:after="40" w:before="40"/>
      </w:pPr>
      <w:r>
        <w:rPr>
          <w:rFonts w:ascii="Arial" w:cs="Arial" w:eastAsia="Arial" w:hAnsi="Arial"/>
          <w:color w:val="111827"/>
          <w:sz w:val="22"/>
          <w:szCs w:val="22"/>
        </w:rPr>
        <w:t xml:space="preserve">Security headers (X-Frame-Options, X-Content-Type-Options, Referrer-Policy, Permissions-Policy, Content-Security-Policy) set in Next.js config — they deploy with the application and cannot drift from infrastructure</w:t>
      </w:r>
    </w:p>
    <w:p>
      <w:pPr>
        <w:spacing w:after="0" w:before="80"/>
      </w:pPr>
      <w:r>
        <w:t xml:space="preserve"/>
      </w:r>
    </w:p>
    <w:p>
      <w:pPr>
        <w:pStyle w:val="Heading2"/>
        <w:spacing w:after="80" w:before="240"/>
      </w:pPr>
      <w:r>
        <w:rPr>
          <w:rFonts w:ascii="Arial" w:cs="Arial" w:eastAsia="Arial" w:hAnsi="Arial"/>
          <w:b/>
          <w:bCs/>
          <w:color w:val="2563EB"/>
          <w:sz w:val="24"/>
          <w:szCs w:val="24"/>
        </w:rPr>
        <w:t xml:space="preserve">5.6 Database Operations</w:t>
      </w:r>
    </w:p>
    <w:p>
      <w:pPr>
        <w:pStyle w:val="ListParagraph"/>
        <w:numPr>
          <w:ilvl w:val="0"/>
          <w:numId w:val="2"/>
        </w:numPr>
        <w:spacing w:after="40" w:before="40"/>
      </w:pPr>
      <w:r>
        <w:rPr>
          <w:rFonts w:ascii="Arial" w:cs="Arial" w:eastAsia="Arial" w:hAnsi="Arial"/>
          <w:color w:val="111827"/>
          <w:sz w:val="22"/>
          <w:szCs w:val="22"/>
        </w:rPr>
        <w:t xml:space="preserve">Schema migrations via numbered SQL files — applied deliberately, not auto-migrated on deploy</w:t>
      </w:r>
    </w:p>
    <w:p>
      <w:pPr>
        <w:pStyle w:val="ListParagraph"/>
        <w:numPr>
          <w:ilvl w:val="0"/>
          <w:numId w:val="2"/>
        </w:numPr>
        <w:spacing w:after="40" w:before="40"/>
      </w:pPr>
      <w:r>
        <w:rPr>
          <w:rFonts w:ascii="Arial" w:cs="Arial" w:eastAsia="Arial" w:hAnsi="Arial"/>
          <w:color w:val="111827"/>
          <w:sz w:val="22"/>
          <w:szCs w:val="22"/>
        </w:rPr>
        <w:t xml:space="preserve">Composite index design for hot read paths (subject+year, user+date)</w:t>
      </w:r>
    </w:p>
    <w:p>
      <w:pPr>
        <w:pStyle w:val="ListParagraph"/>
        <w:numPr>
          <w:ilvl w:val="0"/>
          <w:numId w:val="2"/>
        </w:numPr>
        <w:spacing w:after="40" w:before="40"/>
      </w:pPr>
      <w:r>
        <w:rPr>
          <w:rFonts w:ascii="Arial" w:cs="Arial" w:eastAsia="Arial" w:hAnsi="Arial"/>
          <w:color w:val="111827"/>
          <w:sz w:val="22"/>
          <w:szCs w:val="22"/>
        </w:rPr>
        <w:t xml:space="preserve">Soft deletes for GDPR compliance — anonymize, do not remove</w:t>
      </w:r>
    </w:p>
    <w:p>
      <w:pPr>
        <w:pStyle w:val="ListParagraph"/>
        <w:numPr>
          <w:ilvl w:val="0"/>
          <w:numId w:val="2"/>
        </w:numPr>
        <w:spacing w:after="40" w:before="40"/>
      </w:pPr>
      <w:r>
        <w:rPr>
          <w:rFonts w:ascii="Arial" w:cs="Arial" w:eastAsia="Arial" w:hAnsi="Arial"/>
          <w:color w:val="111827"/>
          <w:sz w:val="22"/>
          <w:szCs w:val="22"/>
        </w:rPr>
        <w:t xml:space="preserve">Content hashing (SHA-256) for deduplication across large paper collections</w:t>
      </w:r>
    </w:p>
    <w:p>
      <w:pPr>
        <w:pStyle w:val="ListParagraph"/>
        <w:numPr>
          <w:ilvl w:val="0"/>
          <w:numId w:val="2"/>
        </w:numPr>
        <w:spacing w:after="40" w:before="40"/>
      </w:pPr>
      <w:r>
        <w:rPr>
          <w:rFonts w:ascii="Arial" w:cs="Arial" w:eastAsia="Arial" w:hAnsi="Arial"/>
          <w:color w:val="111827"/>
          <w:sz w:val="22"/>
          <w:szCs w:val="22"/>
        </w:rPr>
        <w:t xml:space="preserve">Token versioning for stateless session revocation without Redis</w:t>
      </w:r>
    </w:p>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6. AI/RAG Engineering &amp; Python Skills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6.1 RAG Pipeline Architecture</w:t>
      </w:r>
    </w:p>
    <w:p>
      <w:pPr>
        <w:spacing w:after="100" w:before="60"/>
      </w:pPr>
      <w:r>
        <w:rPr>
          <w:rFonts w:ascii="Arial" w:cs="Arial" w:eastAsia="Arial" w:hAnsi="Arial"/>
          <w:color w:val="111827"/>
          <w:sz w:val="22"/>
          <w:szCs w:val="22"/>
        </w:rPr>
        <w:t xml:space="preserve">I design and build Retrieval-Augmented Generation pipelines for production AI applications. My approach follows the same engineering discipline as my web work: modular, observable, and failure-aware.</w:t>
      </w:r>
    </w:p>
    <w:p>
      <w:pPr>
        <w:spacing w:after="0" w:before="80"/>
      </w:pPr>
      <w:r>
        <w:t xml:space="preserve"/>
      </w:r>
    </w:p>
    <w:p>
      <w:pPr>
        <w:spacing w:after="100" w:before="60"/>
      </w:pPr>
      <w:r>
        <w:rPr>
          <w:rFonts w:ascii="Arial" w:cs="Arial" w:eastAsia="Arial" w:hAnsi="Arial"/>
          <w:color w:val="111827"/>
          <w:sz w:val="22"/>
          <w:szCs w:val="22"/>
        </w:rPr>
        <w:t xml:space="preserve">Core RAG stack I work with:</w:t>
      </w:r>
    </w:p>
    <w:p>
      <w:pPr>
        <w:pStyle w:val="ListParagraph"/>
        <w:numPr>
          <w:ilvl w:val="0"/>
          <w:numId w:val="2"/>
        </w:numPr>
        <w:spacing w:after="40" w:before="40"/>
      </w:pPr>
      <w:r>
        <w:rPr>
          <w:rFonts w:ascii="Arial" w:cs="Arial" w:eastAsia="Arial" w:hAnsi="Arial"/>
          <w:color w:val="111827"/>
          <w:sz w:val="22"/>
          <w:szCs w:val="22"/>
        </w:rPr>
        <w:t xml:space="preserve">LangChain &amp; LangGraph — orchestrating multi-step retrieval chains and stateful agent workflows</w:t>
      </w:r>
    </w:p>
    <w:p>
      <w:pPr>
        <w:pStyle w:val="ListParagraph"/>
        <w:numPr>
          <w:ilvl w:val="0"/>
          <w:numId w:val="2"/>
        </w:numPr>
        <w:spacing w:after="40" w:before="40"/>
      </w:pPr>
      <w:r>
        <w:rPr>
          <w:rFonts w:ascii="Arial" w:cs="Arial" w:eastAsia="Arial" w:hAnsi="Arial"/>
          <w:color w:val="111827"/>
          <w:sz w:val="22"/>
          <w:szCs w:val="22"/>
        </w:rPr>
        <w:t xml:space="preserve">Pinecone — managed vector database for production embeddings with namespace isolation</w:t>
      </w:r>
    </w:p>
    <w:p>
      <w:pPr>
        <w:pStyle w:val="ListParagraph"/>
        <w:numPr>
          <w:ilvl w:val="0"/>
          <w:numId w:val="2"/>
        </w:numPr>
        <w:spacing w:after="40" w:before="40"/>
      </w:pPr>
      <w:r>
        <w:rPr>
          <w:rFonts w:ascii="Arial" w:cs="Arial" w:eastAsia="Arial" w:hAnsi="Arial"/>
          <w:color w:val="111827"/>
          <w:sz w:val="22"/>
          <w:szCs w:val="22"/>
        </w:rPr>
        <w:t xml:space="preserve">Chroma — local/self-hosted vector store for development and cost-sensitive deployments</w:t>
      </w:r>
    </w:p>
    <w:p>
      <w:pPr>
        <w:pStyle w:val="ListParagraph"/>
        <w:numPr>
          <w:ilvl w:val="0"/>
          <w:numId w:val="2"/>
        </w:numPr>
        <w:spacing w:after="40" w:before="40"/>
      </w:pPr>
      <w:r>
        <w:rPr>
          <w:rFonts w:ascii="Arial" w:cs="Arial" w:eastAsia="Arial" w:hAnsi="Arial"/>
          <w:color w:val="111827"/>
          <w:sz w:val="22"/>
          <w:szCs w:val="22"/>
        </w:rPr>
        <w:t xml:space="preserve">OpenAI / OpenRouter — LLM API integration with model routing and fallback strategies</w:t>
      </w:r>
    </w:p>
    <w:p>
      <w:pPr>
        <w:spacing w:after="0" w:before="80"/>
      </w:pPr>
      <w:r>
        <w:t xml:space="preserve"/>
      </w:r>
    </w:p>
    <w:p>
      <w:pPr>
        <w:pStyle w:val="Heading2"/>
        <w:spacing w:after="80" w:before="240"/>
      </w:pPr>
      <w:r>
        <w:rPr>
          <w:rFonts w:ascii="Arial" w:cs="Arial" w:eastAsia="Arial" w:hAnsi="Arial"/>
          <w:b/>
          <w:bCs/>
          <w:color w:val="2563EB"/>
          <w:sz w:val="24"/>
          <w:szCs w:val="24"/>
        </w:rPr>
        <w:t xml:space="preserve">6.2 RAG Pipeline Patterns I Implement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6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 Use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Chunking &amp; Embedding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ingestion — split by semantic boundaries, embed with ada-002 or equivalent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Hybrid Search</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Combine dense (vector) + sparse (BM25) retrieval for higher recall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Reranking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Cross-encoder reranking of top-k results before passing to LLM context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Query Expansion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Decompose ambiguous queries into sub-queries, retrieve independently, merge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Streaming Responses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Server-Sent Events for real-time LLM output in web UIs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Conversation Memory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Buffer + summary memory with token-aware truncation for long sessions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Workflows (LangGraph)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Stateful multi-step agents with conditional branching and tool calls</w:t>
            </w:r>
          </w:p>
        </w:tc>
      </w:tr>
    </w:tbl>
    <w:p>
      <w:pPr>
        <w:spacing w:after="0" w:before="120"/>
      </w:pPr>
      <w:r>
        <w:t xml:space="preserve"/>
      </w:r>
    </w:p>
    <w:p>
      <w:pPr>
        <w:pStyle w:val="Heading2"/>
        <w:spacing w:after="80" w:before="240"/>
      </w:pPr>
      <w:r>
        <w:rPr>
          <w:rFonts w:ascii="Arial" w:cs="Arial" w:eastAsia="Arial" w:hAnsi="Arial"/>
          <w:b/>
          <w:bCs/>
          <w:color w:val="2563EB"/>
          <w:sz w:val="24"/>
          <w:szCs w:val="24"/>
        </w:rPr>
        <w:t xml:space="preserve">6.3 Python Proficiency</w:t>
      </w:r>
    </w:p>
    <w:p>
      <w:pPr>
        <w:spacing w:after="100" w:before="60"/>
      </w:pPr>
      <w:r>
        <w:rPr>
          <w:rFonts w:ascii="Arial" w:cs="Arial" w:eastAsia="Arial" w:hAnsi="Arial"/>
          <w:color w:val="111827"/>
          <w:sz w:val="22"/>
          <w:szCs w:val="22"/>
        </w:rPr>
        <w:t xml:space="preserve">I write Python for AI pipelines, automation scripts, and data processing — preferring minimal, dependency-light scripts without unnecessary abstractions.</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Package management: uv for fast, reproducible environments; pinning versions to resolve dependency conflicts (e.g., openai vs httpx compatibility)</w:t>
      </w:r>
    </w:p>
    <w:p>
      <w:pPr>
        <w:pStyle w:val="ListParagraph"/>
        <w:numPr>
          <w:ilvl w:val="0"/>
          <w:numId w:val="2"/>
        </w:numPr>
        <w:spacing w:after="40" w:before="40"/>
      </w:pPr>
      <w:r>
        <w:rPr>
          <w:rFonts w:ascii="Arial" w:cs="Arial" w:eastAsia="Arial" w:hAnsi="Arial"/>
          <w:color w:val="111827"/>
          <w:sz w:val="22"/>
          <w:szCs w:val="22"/>
        </w:rPr>
        <w:t xml:space="preserve">AI/ML libraries: LangChain, LangGraph, OpenAI SDK, Anthropic SDK, Hugging Face transformers, sentence-transformers</w:t>
      </w:r>
    </w:p>
    <w:p>
      <w:pPr>
        <w:pStyle w:val="ListParagraph"/>
        <w:numPr>
          <w:ilvl w:val="0"/>
          <w:numId w:val="2"/>
        </w:numPr>
        <w:spacing w:after="40" w:before="40"/>
      </w:pPr>
      <w:r>
        <w:rPr>
          <w:rFonts w:ascii="Arial" w:cs="Arial" w:eastAsia="Arial" w:hAnsi="Arial"/>
          <w:color w:val="111827"/>
          <w:sz w:val="22"/>
          <w:szCs w:val="22"/>
        </w:rPr>
        <w:t xml:space="preserve">Data processing: pandas, numpy for pipeline data handling and evaluation</w:t>
      </w:r>
    </w:p>
    <w:p>
      <w:pPr>
        <w:pStyle w:val="ListParagraph"/>
        <w:numPr>
          <w:ilvl w:val="0"/>
          <w:numId w:val="2"/>
        </w:numPr>
        <w:spacing w:after="40" w:before="40"/>
      </w:pPr>
      <w:r>
        <w:rPr>
          <w:rFonts w:ascii="Arial" w:cs="Arial" w:eastAsia="Arial" w:hAnsi="Arial"/>
          <w:color w:val="111827"/>
          <w:sz w:val="22"/>
          <w:szCs w:val="22"/>
        </w:rPr>
        <w:t xml:space="preserve">API scripting: httpx, requests, aiohttp for async API clients</w:t>
      </w:r>
    </w:p>
    <w:p>
      <w:pPr>
        <w:pStyle w:val="ListParagraph"/>
        <w:numPr>
          <w:ilvl w:val="0"/>
          <w:numId w:val="2"/>
        </w:numPr>
        <w:spacing w:after="40" w:before="40"/>
      </w:pPr>
      <w:r>
        <w:rPr>
          <w:rFonts w:ascii="Arial" w:cs="Arial" w:eastAsia="Arial" w:hAnsi="Arial"/>
          <w:color w:val="111827"/>
          <w:sz w:val="22"/>
          <w:szCs w:val="22"/>
        </w:rPr>
        <w:t xml:space="preserve">Automation: working with n8n for no-code/low-code workflow automation alongside Python scripts</w:t>
      </w:r>
    </w:p>
    <w:p>
      <w:pPr>
        <w:pStyle w:val="ListParagraph"/>
        <w:numPr>
          <w:ilvl w:val="0"/>
          <w:numId w:val="2"/>
        </w:numPr>
        <w:spacing w:after="40" w:before="40"/>
      </w:pPr>
      <w:r>
        <w:rPr>
          <w:rFonts w:ascii="Arial" w:cs="Arial" w:eastAsia="Arial" w:hAnsi="Arial"/>
          <w:color w:val="111827"/>
          <w:sz w:val="22"/>
          <w:szCs w:val="22"/>
        </w:rPr>
        <w:t xml:space="preserve">Scripting philosophy: no unnecessary abstractions, no extra dependencies — scripts that do exactly one thing and are easy to read and audit</w:t>
      </w:r>
    </w:p>
    <w:p>
      <w:pPr>
        <w:spacing w:after="0" w:before="80"/>
      </w:pPr>
      <w:r>
        <w:t xml:space="preserve"/>
      </w:r>
    </w:p>
    <w:p>
      <w:pPr>
        <w:pStyle w:val="Heading2"/>
        <w:spacing w:after="80" w:before="240"/>
      </w:pPr>
      <w:r>
        <w:rPr>
          <w:rFonts w:ascii="Arial" w:cs="Arial" w:eastAsia="Arial" w:hAnsi="Arial"/>
          <w:b/>
          <w:bCs/>
          <w:color w:val="2563EB"/>
          <w:sz w:val="24"/>
          <w:szCs w:val="24"/>
        </w:rPr>
        <w:t xml:space="preserve">6.4 AI Product Experience</w:t>
      </w:r>
    </w:p>
    <w:p>
      <w:pPr>
        <w:spacing w:after="100" w:before="60"/>
      </w:pPr>
      <w:r>
        <w:rPr>
          <w:rFonts w:ascii="Arial" w:cs="Arial" w:eastAsia="Arial" w:hAnsi="Arial"/>
          <w:color w:val="111827"/>
          <w:sz w:val="22"/>
          <w:szCs w:val="22"/>
        </w:rPr>
        <w:t xml:space="preserve">Beyond infrastructure, I have hands-on experience building AI-powered product features:</w:t>
      </w:r>
    </w:p>
    <w:p>
      <w:pPr>
        <w:pStyle w:val="ListParagraph"/>
        <w:numPr>
          <w:ilvl w:val="0"/>
          <w:numId w:val="2"/>
        </w:numPr>
        <w:spacing w:after="40" w:before="40"/>
      </w:pPr>
      <w:r>
        <w:rPr>
          <w:rFonts w:ascii="Arial" w:cs="Arial" w:eastAsia="Arial" w:hAnsi="Arial"/>
          <w:color w:val="111827"/>
          <w:sz w:val="22"/>
          <w:szCs w:val="22"/>
        </w:rPr>
        <w:t xml:space="preserve">Virtual try-on pipelines for fashion brands (Hemlock engagement) — AI image generation integrated into mobile apps</w:t>
      </w:r>
    </w:p>
    <w:p>
      <w:pPr>
        <w:pStyle w:val="ListParagraph"/>
        <w:numPr>
          <w:ilvl w:val="0"/>
          <w:numId w:val="2"/>
        </w:numPr>
        <w:spacing w:after="40" w:before="40"/>
      </w:pPr>
      <w:r>
        <w:rPr>
          <w:rFonts w:ascii="Arial" w:cs="Arial" w:eastAsia="Arial" w:hAnsi="Arial"/>
          <w:color w:val="111827"/>
          <w:sz w:val="22"/>
          <w:szCs w:val="22"/>
        </w:rPr>
        <w:t xml:space="preserve">Content generation automation with structured output parsing and quality validation</w:t>
      </w:r>
    </w:p>
    <w:p>
      <w:pPr>
        <w:pStyle w:val="ListParagraph"/>
        <w:numPr>
          <w:ilvl w:val="0"/>
          <w:numId w:val="2"/>
        </w:numPr>
        <w:spacing w:after="40" w:before="40"/>
      </w:pPr>
      <w:r>
        <w:rPr>
          <w:rFonts w:ascii="Arial" w:cs="Arial" w:eastAsia="Arial" w:hAnsi="Arial"/>
          <w:color w:val="111827"/>
          <w:sz w:val="22"/>
          <w:szCs w:val="22"/>
        </w:rPr>
        <w:t xml:space="preserve">RAG-powered knowledge bases with document ingestion, chunking strategy design, and retrieval evaluation</w:t>
      </w:r>
    </w:p>
    <w:p>
      <w:pPr>
        <w:pStyle w:val="ListParagraph"/>
        <w:numPr>
          <w:ilvl w:val="0"/>
          <w:numId w:val="2"/>
        </w:numPr>
        <w:spacing w:after="40" w:before="40"/>
      </w:pPr>
      <w:r>
        <w:rPr>
          <w:rFonts w:ascii="Arial" w:cs="Arial" w:eastAsia="Arial" w:hAnsi="Arial"/>
          <w:color w:val="111827"/>
          <w:sz w:val="22"/>
          <w:szCs w:val="22"/>
        </w:rPr>
        <w:t xml:space="preserve">n8n automation workflows integrating AI APIs with business processes</w:t>
      </w:r>
    </w:p>
    <w:p>
      <w:pPr>
        <w:spacing w:after="0" w:before="160"/>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7. Engineering Principles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 Practice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Security-first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Multi-layer defense on every endpoint, never trust a single guard, audit everything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Ship iteratively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MVP first, feature flags for dark launches, layer defenses based on observation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 for failure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Every external call has a specific fallback, degrade quietly, log loudly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Observability by default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Structured logs, correlation IDs, audit trails from the first commit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Composition over repetition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HOFs, reusable guards, focused modules with single responsibilities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Pragmatic over dogmatic</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Raw SQL where ORMs hurt, serverless where monoliths are overkill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decisions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Why-comments not what-comments; architecture decisions in markdown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Test what matters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Happy paths, failure modes, and performance thresholds — three tiers every time</w:t>
            </w:r>
          </w:p>
        </w:tc>
      </w:tr>
    </w:tbl>
    <w:p>
      <w:pPr>
        <w:spacing w:after="0" w:before="200"/>
      </w:pPr>
      <w:r>
        <w:t xml:space="preserve"/>
      </w:r>
    </w:p>
    <w:p>
      <w:pPr>
        <w:pBdr>
          <w:top w:val="single" w:color="D1D5DB" w:sz="2" w:space="8"/>
        </w:pBdr>
        <w:spacing w:after="60" w:before="200"/>
        <w:jc w:val="center"/>
      </w:pPr>
      <w:r>
        <w:rPr>
          <w:rFonts w:ascii="Arial" w:cs="Arial" w:eastAsia="Arial" w:hAnsi="Arial"/>
          <w:color w:val="6B7280"/>
          <w:sz w:val="18"/>
          <w:szCs w:val="18"/>
        </w:rPr>
        <w:t xml:space="preserve">Built on: Cambridge Station (production) · Hemlock AI · Internal tooling</w:t>
      </w:r>
    </w:p>
    <w:p>
      <w:pPr>
        <w:jc w:val="center"/>
      </w:pPr>
      <w:r>
        <w:rPr>
          <w:rFonts w:ascii="Arial" w:cs="Arial" w:eastAsia="Arial" w:hAnsi="Arial"/>
          <w:color w:val="6B7280"/>
          <w:sz w:val="18"/>
          <w:szCs w:val="18"/>
        </w:rPr>
        <w:t xml:space="preserve">Ahmedabad, India  ·  Full-Stack · AI/RAG · DevOps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2026-05-21T05:59:55.927Z</dcterms:created>
  <dcterms:modified xsi:type="dcterms:W3CDTF">2026-05-21T05:59:55.927Z</dcterms:modified>
</cp:coreProperties>
</file>

<file path=docProps/custom.xml><?xml version="1.0" encoding="utf-8"?>
<Properties xmlns="http://schemas.openxmlformats.org/officeDocument/2006/custom-properties" xmlns:vt="http://schemas.openxmlformats.org/officeDocument/2006/docPropsVTypes"/>
</file>