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5ADE3">
      <w:r>
        <w:drawing>
          <wp:inline distT="0" distB="0" distL="0" distR="0">
            <wp:extent cx="5731510" cy="2865755"/>
            <wp:effectExtent l="0" t="0" r="0" b="0"/>
            <wp:docPr id="58162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037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6DCB"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b/>
          <w:bCs/>
          <w:sz w:val="36"/>
          <w:szCs w:val="36"/>
        </w:rPr>
        <w:t>A</w:t>
      </w:r>
      <w:r>
        <w:rPr>
          <w:rFonts w:hint="default"/>
          <w:b/>
          <w:bCs/>
          <w:sz w:val="36"/>
          <w:szCs w:val="36"/>
          <w:lang w:val="en-IN"/>
        </w:rPr>
        <w:t>bstract and Objectives of</w:t>
      </w:r>
    </w:p>
    <w:p w14:paraId="401260CF">
      <w:pPr>
        <w:jc w:val="center"/>
        <w:rPr>
          <w:rFonts w:hint="default"/>
          <w:b/>
          <w:bCs/>
          <w:i/>
          <w:iCs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sz w:val="28"/>
          <w:szCs w:val="28"/>
          <w:lang w:val="en-IN"/>
        </w:rPr>
        <w:t>Intrusion Detection System</w:t>
      </w:r>
    </w:p>
    <w:p w14:paraId="3A666FBD">
      <w:pPr>
        <w:jc w:val="center"/>
        <w:rPr>
          <w:b/>
          <w:bCs/>
          <w:sz w:val="28"/>
          <w:szCs w:val="28"/>
        </w:rPr>
      </w:pPr>
    </w:p>
    <w:p w14:paraId="0F33CD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by: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6757"/>
      </w:tblGrid>
      <w:tr w14:paraId="38259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44" w:type="pct"/>
          </w:tcPr>
          <w:p w14:paraId="30D6ABC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(Student 1)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655" w:type="pct"/>
          </w:tcPr>
          <w:p w14:paraId="271C4A71">
            <w:p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 xml:space="preserve">Abhishek Dutta </w:t>
            </w:r>
          </w:p>
        </w:tc>
      </w:tr>
      <w:tr w14:paraId="61376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344" w:type="pct"/>
          </w:tcPr>
          <w:p w14:paraId="4F54E6A1">
            <w:p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 xml:space="preserve">Name(Student 2): </w:t>
            </w:r>
          </w:p>
        </w:tc>
        <w:tc>
          <w:tcPr>
            <w:tcW w:w="3655" w:type="pct"/>
          </w:tcPr>
          <w:p w14:paraId="28FF9E42">
            <w:p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Chinmoy Das</w:t>
            </w:r>
          </w:p>
        </w:tc>
      </w:tr>
      <w:tr w14:paraId="643E5A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44" w:type="pct"/>
            <w:shd w:val="clear"/>
            <w:vAlign w:val="top"/>
          </w:tcPr>
          <w:p w14:paraId="082BB865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lang w:val="en-IN" w:eastAsia="en-US" w:bidi="ar-SA"/>
                <w14:ligatures w14:val="standardContextual"/>
              </w:rPr>
            </w:pPr>
            <w:r>
              <w:rPr>
                <w:b/>
                <w:bCs/>
                <w:sz w:val="28"/>
                <w:szCs w:val="28"/>
              </w:rPr>
              <w:t xml:space="preserve">Enrollment </w:t>
            </w: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(Student 1)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655" w:type="pct"/>
          </w:tcPr>
          <w:p w14:paraId="1C883E18">
            <w:p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ADTU/2022-25/BCASP/040</w:t>
            </w:r>
          </w:p>
        </w:tc>
      </w:tr>
      <w:tr w14:paraId="6F314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44" w:type="pct"/>
            <w:shd w:val="clear"/>
            <w:vAlign w:val="top"/>
          </w:tcPr>
          <w:p w14:paraId="10672A8E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Enrollment ID(Student 2)</w:t>
            </w:r>
          </w:p>
        </w:tc>
        <w:tc>
          <w:tcPr>
            <w:tcW w:w="3655" w:type="pct"/>
          </w:tcPr>
          <w:p w14:paraId="1965A115">
            <w:p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ADTU/2022-25/BCASP/014</w:t>
            </w:r>
          </w:p>
        </w:tc>
      </w:tr>
      <w:tr w14:paraId="644F6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44" w:type="pct"/>
            <w:shd w:val="clear"/>
            <w:vAlign w:val="top"/>
          </w:tcPr>
          <w:p w14:paraId="45F26253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Semester:</w:t>
            </w:r>
          </w:p>
        </w:tc>
        <w:tc>
          <w:tcPr>
            <w:tcW w:w="3655" w:type="pct"/>
          </w:tcPr>
          <w:p w14:paraId="271E5BBB">
            <w:p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6</w:t>
            </w:r>
            <w:r>
              <w:rPr>
                <w:rFonts w:hint="default"/>
                <w:b/>
                <w:bCs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 xml:space="preserve"> Semester</w:t>
            </w:r>
          </w:p>
        </w:tc>
      </w:tr>
      <w:tr w14:paraId="7ECF0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44" w:type="pct"/>
            <w:shd w:val="clear" w:color="auto" w:fill="auto"/>
            <w:vAlign w:val="top"/>
          </w:tcPr>
          <w:p w14:paraId="0E64FCA7"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lang w:val="en-IN" w:eastAsia="en-US" w:bidi="ar-SA"/>
                <w14:ligatures w14:val="standardContextual"/>
              </w:rPr>
            </w:pPr>
            <w:r>
              <w:rPr>
                <w:b/>
                <w:bCs/>
                <w:sz w:val="28"/>
                <w:szCs w:val="28"/>
              </w:rPr>
              <w:t>Section:</w:t>
            </w:r>
          </w:p>
        </w:tc>
        <w:tc>
          <w:tcPr>
            <w:tcW w:w="3655" w:type="pct"/>
          </w:tcPr>
          <w:p w14:paraId="2E2588AA">
            <w:p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A</w:t>
            </w:r>
          </w:p>
        </w:tc>
      </w:tr>
    </w:tbl>
    <w:p w14:paraId="37A63514">
      <w:pPr>
        <w:rPr>
          <w:b/>
          <w:bCs/>
          <w:sz w:val="28"/>
          <w:szCs w:val="28"/>
        </w:rPr>
      </w:pPr>
    </w:p>
    <w:p w14:paraId="5032C2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tbl>
      <w:tblPr>
        <w:tblStyle w:val="17"/>
        <w:tblW w:w="500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6764"/>
      </w:tblGrid>
      <w:tr w14:paraId="476C9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1344" w:type="pct"/>
          </w:tcPr>
          <w:p w14:paraId="5121EAE4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Faculty</w:t>
            </w:r>
            <w:r>
              <w:rPr>
                <w:b/>
                <w:bCs/>
                <w:sz w:val="28"/>
                <w:szCs w:val="28"/>
              </w:rPr>
              <w:t xml:space="preserve"> In-charge</w:t>
            </w:r>
          </w:p>
        </w:tc>
        <w:tc>
          <w:tcPr>
            <w:tcW w:w="3655" w:type="pct"/>
          </w:tcPr>
          <w:p w14:paraId="1D3CFAC2">
            <w:p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Dr. Mala Dutta</w:t>
            </w:r>
          </w:p>
        </w:tc>
      </w:tr>
    </w:tbl>
    <w:p w14:paraId="471D7BC4">
      <w:pPr>
        <w:rPr>
          <w:b/>
          <w:bCs/>
          <w:sz w:val="28"/>
          <w:szCs w:val="28"/>
        </w:rPr>
      </w:pPr>
    </w:p>
    <w:p w14:paraId="3C0106D2">
      <w:pPr>
        <w:rPr>
          <w:b/>
          <w:bCs/>
          <w:sz w:val="28"/>
          <w:szCs w:val="28"/>
        </w:rPr>
      </w:pPr>
    </w:p>
    <w:p w14:paraId="6085501E">
      <w:pPr>
        <w:rPr>
          <w:b/>
          <w:bCs/>
          <w:sz w:val="28"/>
          <w:szCs w:val="28"/>
        </w:rPr>
      </w:pPr>
    </w:p>
    <w:p w14:paraId="4C308E09">
      <w:pPr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Abstract</w:t>
      </w:r>
    </w:p>
    <w:p w14:paraId="7BCDE851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480" w:lineRule="auto"/>
        <w:ind w:left="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This project proposes a hybrid Intrusion Detection System (IDS) that fuses the robust packet inspection capabilities of </w:t>
      </w:r>
      <w:r>
        <w:rPr>
          <w:rStyle w:val="15"/>
          <w:rFonts w:hint="default" w:ascii="Times New Roman" w:hAnsi="Times New Roman" w:cs="Times New Roman"/>
          <w:sz w:val="28"/>
          <w:szCs w:val="28"/>
        </w:rPr>
        <w:t>Snort</w:t>
      </w:r>
      <w:r>
        <w:rPr>
          <w:rFonts w:hint="default" w:ascii="Times New Roman" w:hAnsi="Times New Roman" w:cs="Times New Roman"/>
          <w:sz w:val="28"/>
          <w:szCs w:val="28"/>
        </w:rPr>
        <w:t xml:space="preserve"> with the simplicity and automation potential of </w:t>
      </w:r>
      <w:r>
        <w:rPr>
          <w:rStyle w:val="15"/>
          <w:rFonts w:hint="default" w:ascii="Times New Roman" w:hAnsi="Times New Roman" w:cs="Times New Roman"/>
          <w:sz w:val="28"/>
          <w:szCs w:val="28"/>
        </w:rPr>
        <w:t>Python scripting</w:t>
      </w:r>
      <w:r>
        <w:rPr>
          <w:rFonts w:hint="default" w:ascii="Times New Roman" w:hAnsi="Times New Roman" w:cs="Times New Roman"/>
          <w:sz w:val="28"/>
          <w:szCs w:val="28"/>
        </w:rPr>
        <w:t xml:space="preserve">, offering a more accessible and efficient solution for network threat detection. Recognizing the complexity involved in manually configuring and monitoring Snort—especially in Windows environments—the project shifts to a Linux-based architecture (via </w:t>
      </w:r>
      <w:r>
        <w:rPr>
          <w:rStyle w:val="15"/>
          <w:rFonts w:hint="default" w:ascii="Times New Roman" w:hAnsi="Times New Roman" w:cs="Times New Roman"/>
          <w:sz w:val="28"/>
          <w:szCs w:val="28"/>
        </w:rPr>
        <w:t>WSL with Kali Linux</w:t>
      </w:r>
      <w:r>
        <w:rPr>
          <w:rFonts w:hint="default" w:ascii="Times New Roman" w:hAnsi="Times New Roman" w:cs="Times New Roman"/>
          <w:sz w:val="28"/>
          <w:szCs w:val="28"/>
        </w:rPr>
        <w:t>) for greater control and performance.</w:t>
      </w:r>
    </w:p>
    <w:p w14:paraId="01701D64"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480" w:lineRule="auto"/>
        <w:ind w:left="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Snort is compiled from source using </w:t>
      </w:r>
      <w:r>
        <w:rPr>
          <w:rStyle w:val="15"/>
          <w:rFonts w:hint="default" w:ascii="Times New Roman" w:hAnsi="Times New Roman" w:cs="Times New Roman"/>
          <w:sz w:val="28"/>
          <w:szCs w:val="28"/>
        </w:rPr>
        <w:t>CMake</w:t>
      </w:r>
      <w:r>
        <w:rPr>
          <w:rFonts w:hint="default" w:ascii="Times New Roman" w:hAnsi="Times New Roman" w:cs="Times New Roman"/>
          <w:sz w:val="28"/>
          <w:szCs w:val="28"/>
        </w:rPr>
        <w:t xml:space="preserve">, incorporating a suite of open-source dependencies such as </w:t>
      </w:r>
      <w:r>
        <w:rPr>
          <w:rStyle w:val="15"/>
          <w:rFonts w:hint="default" w:ascii="Times New Roman" w:hAnsi="Times New Roman" w:cs="Times New Roman"/>
          <w:sz w:val="28"/>
          <w:szCs w:val="28"/>
        </w:rPr>
        <w:t>libdaq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15"/>
          <w:rFonts w:hint="default" w:ascii="Times New Roman" w:hAnsi="Times New Roman" w:cs="Times New Roman"/>
          <w:sz w:val="28"/>
          <w:szCs w:val="28"/>
        </w:rPr>
        <w:t>libdnet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15"/>
          <w:rFonts w:hint="default" w:ascii="Times New Roman" w:hAnsi="Times New Roman" w:cs="Times New Roman"/>
          <w:sz w:val="28"/>
          <w:szCs w:val="28"/>
        </w:rPr>
        <w:t>PCRE2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15"/>
          <w:rFonts w:hint="default" w:ascii="Times New Roman" w:hAnsi="Times New Roman" w:cs="Times New Roman"/>
          <w:sz w:val="28"/>
          <w:szCs w:val="28"/>
        </w:rPr>
        <w:t>OpenSSL</w:t>
      </w:r>
      <w:r>
        <w:rPr>
          <w:rFonts w:hint="default" w:ascii="Times New Roman" w:hAnsi="Times New Roman" w:cs="Times New Roman"/>
          <w:sz w:val="28"/>
          <w:szCs w:val="28"/>
        </w:rPr>
        <w:t xml:space="preserve">, and </w:t>
      </w:r>
      <w:r>
        <w:rPr>
          <w:rStyle w:val="15"/>
          <w:rFonts w:hint="default" w:ascii="Times New Roman" w:hAnsi="Times New Roman" w:cs="Times New Roman"/>
          <w:sz w:val="28"/>
          <w:szCs w:val="28"/>
        </w:rPr>
        <w:t>LuaJIT</w:t>
      </w:r>
      <w:r>
        <w:rPr>
          <w:rFonts w:hint="default" w:ascii="Times New Roman" w:hAnsi="Times New Roman" w:cs="Times New Roman"/>
          <w:sz w:val="28"/>
          <w:szCs w:val="28"/>
        </w:rPr>
        <w:t>. While Snort handles low-level packet capture and rule-based inspection, Python is employed to manage high-level automation tasks—such as initiating scan detection, analyzing logs in real-time, and displaying alerts through a streamlined start/stop interface. This modular architecture ensures not only improved user experience but also facilitates scalability, maintenance, and integration into broader cybersecurity frameworks.</w:t>
      </w:r>
    </w:p>
    <w:p w14:paraId="10A34479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IN"/>
        </w:rPr>
        <w:t>Objectives</w:t>
      </w:r>
    </w:p>
    <w:p w14:paraId="673BDB2E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264099D1"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develop a high-performance, real-time IDS using Snort as the core engine, combined with a Python-based interface for automation and usability.</w:t>
      </w:r>
    </w:p>
    <w:p w14:paraId="5EBC65D4"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compile Snort from source using C++17 and configure it with essential dependencies such as:</w:t>
      </w:r>
    </w:p>
    <w:p w14:paraId="6521427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02657F4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Style w:val="15"/>
          <w:rFonts w:hint="default" w:ascii="Times New Roman" w:hAnsi="Times New Roman" w:eastAsia="SimSun" w:cs="Times New Roman"/>
          <w:sz w:val="28"/>
          <w:szCs w:val="28"/>
        </w:rPr>
        <w:t>libdaq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Packet I/O handling,</w:t>
      </w:r>
    </w:p>
    <w:p w14:paraId="1FC5D6E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Style w:val="15"/>
          <w:rFonts w:hint="default" w:ascii="Times New Roman" w:hAnsi="Times New Roman" w:eastAsia="SimSun" w:cs="Times New Roman"/>
          <w:sz w:val="28"/>
          <w:szCs w:val="28"/>
        </w:rPr>
        <w:t>libdnet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Low-level network tasks,</w:t>
      </w:r>
    </w:p>
    <w:p w14:paraId="1F168C9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Style w:val="15"/>
          <w:rFonts w:hint="default" w:ascii="Times New Roman" w:hAnsi="Times New Roman" w:eastAsia="SimSun" w:cs="Times New Roman"/>
          <w:sz w:val="28"/>
          <w:szCs w:val="28"/>
        </w:rPr>
        <w:t>LuaJIT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Scripting support for flexible configuration,</w:t>
      </w:r>
    </w:p>
    <w:p w14:paraId="19F558E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Style w:val="15"/>
          <w:rFonts w:hint="default" w:ascii="Times New Roman" w:hAnsi="Times New Roman" w:eastAsia="SimSun" w:cs="Times New Roman"/>
          <w:sz w:val="28"/>
          <w:szCs w:val="28"/>
        </w:rPr>
        <w:t>PCRE2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Advanced pattern matching for detecting intrusion patterns,</w:t>
      </w:r>
    </w:p>
    <w:p w14:paraId="4517B92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Style w:val="15"/>
          <w:rFonts w:hint="default" w:ascii="Times New Roman" w:hAnsi="Times New Roman" w:eastAsia="SimSun" w:cs="Times New Roman"/>
          <w:sz w:val="28"/>
          <w:szCs w:val="28"/>
        </w:rPr>
        <w:t>OpenSSL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For secure communication and hash-based verification,</w:t>
      </w:r>
    </w:p>
    <w:p w14:paraId="4A1E5EC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Style w:val="15"/>
          <w:rFonts w:hint="default" w:ascii="Times New Roman" w:hAnsi="Times New Roman" w:eastAsia="SimSun" w:cs="Times New Roman"/>
          <w:sz w:val="28"/>
          <w:szCs w:val="28"/>
        </w:rPr>
        <w:t>zlib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To support compressed payloads,</w:t>
      </w:r>
    </w:p>
    <w:p w14:paraId="629938B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Style w:val="15"/>
          <w:rFonts w:hint="default" w:ascii="Times New Roman" w:hAnsi="Times New Roman" w:eastAsia="SimSun" w:cs="Times New Roman"/>
          <w:sz w:val="28"/>
          <w:szCs w:val="28"/>
        </w:rPr>
        <w:t>hwloc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For CPU and memory affinity management.</w:t>
      </w:r>
    </w:p>
    <w:p w14:paraId="7F91F520">
      <w:pPr>
        <w:numPr>
          <w:numId w:val="0"/>
        </w:numPr>
        <w:spacing w:line="360" w:lineRule="auto"/>
        <w:ind w:left="420" w:left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2EC80106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create a Python-based GUI that enables:</w:t>
      </w:r>
    </w:p>
    <w:p w14:paraId="6B9A092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One-click start/stop monitoring,</w:t>
      </w:r>
    </w:p>
    <w:p w14:paraId="73A5AE9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Real-time log visualization using tools like </w:t>
      </w:r>
      <w:r>
        <w:rPr>
          <w:rStyle w:val="13"/>
          <w:rFonts w:hint="default" w:ascii="Times New Roman" w:hAnsi="Times New Roman" w:eastAsia="SimSun" w:cs="Times New Roman"/>
          <w:sz w:val="28"/>
          <w:szCs w:val="28"/>
        </w:rPr>
        <w:t>tail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and </w:t>
      </w:r>
      <w:r>
        <w:rPr>
          <w:rStyle w:val="13"/>
          <w:rFonts w:hint="default" w:ascii="Times New Roman" w:hAnsi="Times New Roman" w:eastAsia="SimSun" w:cs="Times New Roman"/>
          <w:sz w:val="28"/>
          <w:szCs w:val="28"/>
        </w:rPr>
        <w:t>subprocess</w:t>
      </w:r>
      <w:r>
        <w:rPr>
          <w:rStyle w:val="13"/>
          <w:rFonts w:hint="default" w:ascii="Times New Roman" w:hAnsi="Times New Roman" w:eastAsia="SimSun" w:cs="Times New Roman"/>
          <w:sz w:val="28"/>
          <w:szCs w:val="28"/>
          <w:lang w:val="en-IN"/>
        </w:rPr>
        <w:t>,</w:t>
      </w:r>
    </w:p>
    <w:p w14:paraId="1C94C10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Custom rule creation and integration.</w:t>
      </w:r>
    </w:p>
    <w:p w14:paraId="28E240AF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implement modular, scalable architecture where Snort handles packet-level detection and Python handles alert processing, UI, and configuration logic.</w:t>
      </w:r>
      <w:bookmarkStart w:id="0" w:name="_GoBack"/>
      <w:bookmarkEnd w:id="0"/>
    </w:p>
    <w:p w14:paraId="79CD6FEC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To enhance detection of scanning tools like </w:t>
      </w:r>
      <w:r>
        <w:rPr>
          <w:rStyle w:val="15"/>
          <w:rFonts w:hint="default" w:ascii="Times New Roman" w:hAnsi="Times New Roman" w:eastAsia="SimSun" w:cs="Times New Roman"/>
          <w:sz w:val="28"/>
          <w:szCs w:val="28"/>
        </w:rPr>
        <w:t>Nmap</w:t>
      </w:r>
      <w:r>
        <w:rPr>
          <w:rFonts w:hint="default" w:ascii="Times New Roman" w:hAnsi="Times New Roman" w:eastAsia="SimSun" w:cs="Times New Roman"/>
          <w:sz w:val="28"/>
          <w:szCs w:val="28"/>
        </w:rPr>
        <w:t>, suspicious TCP flag patterns, and other known vulnerabilities through a customized Snort ruleset.</w:t>
      </w:r>
    </w:p>
    <w:p w14:paraId="7E08A8BF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reduce operational complexity and false positives through rule tuning and automated log filtering.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Ekusher Al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kusher Alo">
    <w:panose1 w:val="02000500000000000000"/>
    <w:charset w:val="00"/>
    <w:family w:val="auto"/>
    <w:pitch w:val="default"/>
    <w:sig w:usb0="00010001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C10238"/>
    <w:multiLevelType w:val="multilevel"/>
    <w:tmpl w:val="EDC10238"/>
    <w:lvl w:ilvl="0" w:tentative="0">
      <w:start w:val="1"/>
      <w:numFmt w:val="upperRoman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73"/>
    <w:rsid w:val="0089665F"/>
    <w:rsid w:val="00FE4873"/>
    <w:rsid w:val="6DFA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semiHidden/>
    <w:unhideWhenUsed/>
    <w:uiPriority w:val="99"/>
    <w:rPr>
      <w:sz w:val="24"/>
      <w:szCs w:val="24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</Words>
  <Characters>145</Characters>
  <Lines>29</Lines>
  <Paragraphs>15</Paragraphs>
  <TotalTime>17</TotalTime>
  <ScaleCrop>false</ScaleCrop>
  <LinksUpToDate>false</LinksUpToDate>
  <CharactersWithSpaces>152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2025-04-25T11:41:00Z</dcterms:created>
  <dc:creator>Wanraplang Nongbri</dc:creator>
  <cp:lastModifiedBy>Inano Music</cp:lastModifiedBy>
  <dcterms:modified xsi:type="dcterms:W3CDTF">2025-05-21T11:45:49Z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1afe460d-6c7e-46b0-8552-d3777775cbb3</vt:lpwstr>
  </property>
  <property fmtid="{D5CDD505-2E9C-101B-9397-08002B2CF9AE}" pid="3" name="KSOProductBuildVer">
    <vt:lpwstr>1033-12.2.0.21179</vt:lpwstr>
  </property>
  <property fmtid="{D5CDD505-2E9C-101B-9397-08002B2CF9AE}" pid="4" name="ICV">
    <vt:lpwstr>8D38A175B7794FCEA7AF3D73E1F389FC_13</vt:lpwstr>
  </property>
</Properties>
</file>