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610F" w14:textId="77777777" w:rsidR="00F20034" w:rsidRDefault="002E31D7" w:rsidP="002E31D7">
      <w:pPr>
        <w:jc w:val="center"/>
        <w:rPr>
          <w:rStyle w:val="Textoennegrita"/>
          <w:sz w:val="48"/>
          <w:szCs w:val="48"/>
        </w:rPr>
      </w:pPr>
      <w:proofErr w:type="gramStart"/>
      <w:r w:rsidRPr="002E31D7">
        <w:rPr>
          <w:rStyle w:val="Textoennegrita"/>
          <w:sz w:val="48"/>
          <w:szCs w:val="48"/>
        </w:rPr>
        <w:t>.::</w:t>
      </w:r>
      <w:proofErr w:type="gramEnd"/>
      <w:r w:rsidRPr="002E31D7">
        <w:rPr>
          <w:rStyle w:val="Textoennegrita"/>
          <w:sz w:val="48"/>
          <w:szCs w:val="48"/>
        </w:rPr>
        <w:t xml:space="preserve"> Normativa ::.</w:t>
      </w:r>
    </w:p>
    <w:sdt>
      <w:sdtPr>
        <w:id w:val="6030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76B20" w14:textId="77777777" w:rsidR="002E31D7" w:rsidRDefault="002E31D7" w:rsidP="00495915">
          <w:r w:rsidRPr="00495915">
            <w:rPr>
              <w:rStyle w:val="nfasisintenso"/>
            </w:rPr>
            <w:t>Contenido</w:t>
          </w:r>
        </w:p>
        <w:p w14:paraId="772D4801" w14:textId="6FA071DD" w:rsidR="00C026C9" w:rsidRDefault="002E31D7">
          <w:pPr>
            <w:pStyle w:val="TDC1"/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9471" w:history="1">
            <w:r w:rsidR="00C026C9" w:rsidRPr="00DD5E62">
              <w:rPr>
                <w:rStyle w:val="Hipervnculo"/>
                <w:noProof/>
              </w:rPr>
              <w:t>1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OBJETIVO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_Toc166249471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1F304BB8" w14:textId="28E48A82" w:rsidR="00C026C9" w:rsidRDefault="0092212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166249472" w:history="1">
            <w:r w:rsidR="00C026C9" w:rsidRPr="00DD5E62">
              <w:rPr>
                <w:rStyle w:val="Hipervnculo"/>
                <w:noProof/>
              </w:rPr>
              <w:t>2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DIRECCIÓN Y PROFESORADO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_Toc166249472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1AD5A757" w14:textId="7D5827FE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3" w:history="1">
            <w:r w:rsidR="00C026C9" w:rsidRPr="00DD5E62">
              <w:rPr>
                <w:rStyle w:val="Hipervnculo"/>
                <w:noProof/>
              </w:rPr>
              <w:t>2.1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DIRECCIÓN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_Toc166249473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118171C0" w14:textId="62AD7730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4" w:history="1">
            <w:r w:rsidR="00C026C9" w:rsidRPr="00DD5E62">
              <w:rPr>
                <w:rStyle w:val="Hipervnculo"/>
                <w:noProof/>
              </w:rPr>
              <w:t>2.2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PROFESORADO.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_Toc166249474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2DF58E9E" w14:textId="355A5CA6" w:rsidR="00C026C9" w:rsidRDefault="0092212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166249475" w:history="1">
            <w:r w:rsidR="00C026C9" w:rsidRPr="00DD5E62">
              <w:rPr>
                <w:rStyle w:val="Hipervnculo"/>
                <w:noProof/>
              </w:rPr>
              <w:t>3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NORMAS GENERALES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_Toc166249475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406D2242" w14:textId="4A941CE6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6" w:history="1">
            <w:r w:rsidR="00C026C9" w:rsidRPr="00DD5E62">
              <w:rPr>
                <w:rStyle w:val="Hipervnculo"/>
                <w:noProof/>
              </w:rPr>
              <w:t>3.1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REQUISITOS DE ACCESO.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_Toc166249476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35C8162B" w14:textId="611F0C5A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7" w:history="1">
            <w:r w:rsidR="00C026C9" w:rsidRPr="00DD5E62">
              <w:rPr>
                <w:rStyle w:val="Hipervnculo"/>
                <w:noProof/>
              </w:rPr>
              <w:t>3.2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INSCRIPCIÓN.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_Toc166249477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58074171" w14:textId="53ED4849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8" w:history="1">
            <w:r w:rsidR="00C026C9" w:rsidRPr="00DD5E62">
              <w:rPr>
                <w:rStyle w:val="Hipervnculo"/>
                <w:noProof/>
              </w:rPr>
              <w:t>3.3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FORMA DE PAGO.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_Toc166249478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29667361" w14:textId="4C272BE5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79" w:history="1">
            <w:r w:rsidR="00C026C9" w:rsidRPr="00DD5E62">
              <w:rPr>
                <w:rStyle w:val="Hipervnculo"/>
                <w:noProof/>
              </w:rPr>
              <w:t>3.4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ENTREGA DE MATERIAL.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_Toc166249479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5A651638" w14:textId="5537BB9C" w:rsidR="00C026C9" w:rsidRDefault="0092212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166249480" w:history="1">
            <w:r w:rsidR="00C026C9" w:rsidRPr="00DD5E62">
              <w:rPr>
                <w:rStyle w:val="Hipervnculo"/>
                <w:noProof/>
              </w:rPr>
              <w:t>4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COMPETENCIAS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_Toc166249480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73125535" w14:textId="7F2EA3D4" w:rsidR="00C026C9" w:rsidRDefault="00922126">
          <w:pPr>
            <w:pStyle w:val="TDC1"/>
            <w:rPr>
              <w:noProof/>
              <w:sz w:val="22"/>
              <w:szCs w:val="22"/>
              <w:lang w:eastAsia="es-ES"/>
            </w:rPr>
          </w:pPr>
          <w:hyperlink w:anchor="_Toc166249481" w:history="1">
            <w:r w:rsidR="00C026C9" w:rsidRPr="00DD5E62">
              <w:rPr>
                <w:rStyle w:val="Hipervnculo"/>
                <w:noProof/>
              </w:rPr>
              <w:t>5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CRITERIOS ACADÉMICOS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_Toc166249481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215BBD8E" w14:textId="2669AF67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82" w:history="1">
            <w:r w:rsidR="00C026C9" w:rsidRPr="00DD5E62">
              <w:rPr>
                <w:rStyle w:val="Hipervnculo"/>
                <w:noProof/>
              </w:rPr>
              <w:t>5.1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NORMAS ACADÉMICAS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_Toc166249482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2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5783A842" w14:textId="2CEC9DA4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83" w:history="1">
            <w:r w:rsidR="00C026C9" w:rsidRPr="00DD5E62">
              <w:rPr>
                <w:rStyle w:val="Hipervnculo"/>
                <w:noProof/>
              </w:rPr>
              <w:t>5.2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GUÍA TEMPORAL DEL CURSO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_Toc166249483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3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70DAC43D" w14:textId="59BD5499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84" w:history="1">
            <w:r w:rsidR="00C026C9" w:rsidRPr="00DD5E62">
              <w:rPr>
                <w:rStyle w:val="Hipervnculo"/>
                <w:noProof/>
              </w:rPr>
              <w:t>5.3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EVALUACIÓN.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_Toc166249484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3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13A75751" w14:textId="193E055A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85" w:history="1">
            <w:r w:rsidR="00C026C9" w:rsidRPr="00DD5E62">
              <w:rPr>
                <w:rStyle w:val="Hipervnculo"/>
                <w:noProof/>
              </w:rPr>
              <w:t>5.4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CONVOCATORIAS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_Toc166249485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3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15CD7B58" w14:textId="0203D738" w:rsidR="00C026C9" w:rsidRDefault="00922126">
          <w:pPr>
            <w:pStyle w:val="TDC2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es-ES"/>
            </w:rPr>
          </w:pPr>
          <w:hyperlink w:anchor="_Toc166249486" w:history="1">
            <w:r w:rsidR="00C026C9" w:rsidRPr="00DD5E62">
              <w:rPr>
                <w:rStyle w:val="Hipervnculo"/>
                <w:noProof/>
              </w:rPr>
              <w:t>5.5</w:t>
            </w:r>
            <w:r w:rsidR="00C026C9">
              <w:rPr>
                <w:noProof/>
                <w:sz w:val="22"/>
                <w:szCs w:val="22"/>
                <w:lang w:eastAsia="es-ES"/>
              </w:rPr>
              <w:tab/>
            </w:r>
            <w:r w:rsidR="00C026C9" w:rsidRPr="00DD5E62">
              <w:rPr>
                <w:rStyle w:val="Hipervnculo"/>
                <w:noProof/>
              </w:rPr>
              <w:t>COMUNICACIÓN DE NOTAS.</w:t>
            </w:r>
            <w:r w:rsidR="00C026C9">
              <w:rPr>
                <w:noProof/>
                <w:webHidden/>
              </w:rPr>
              <w:tab/>
            </w:r>
            <w:r w:rsidR="00C026C9">
              <w:rPr>
                <w:noProof/>
                <w:webHidden/>
              </w:rPr>
              <w:fldChar w:fldCharType="begin"/>
            </w:r>
            <w:r w:rsidR="00C026C9">
              <w:rPr>
                <w:noProof/>
                <w:webHidden/>
              </w:rPr>
              <w:instrText xml:space="preserve"> PAGEREF _Toc166249486 \h </w:instrText>
            </w:r>
            <w:r w:rsidR="00C026C9">
              <w:rPr>
                <w:noProof/>
                <w:webHidden/>
              </w:rPr>
            </w:r>
            <w:r w:rsidR="00C026C9">
              <w:rPr>
                <w:noProof/>
                <w:webHidden/>
              </w:rPr>
              <w:fldChar w:fldCharType="separate"/>
            </w:r>
            <w:r w:rsidR="00C026C9">
              <w:rPr>
                <w:noProof/>
                <w:webHidden/>
              </w:rPr>
              <w:t>3</w:t>
            </w:r>
            <w:r w:rsidR="00C026C9">
              <w:rPr>
                <w:noProof/>
                <w:webHidden/>
              </w:rPr>
              <w:fldChar w:fldCharType="end"/>
            </w:r>
          </w:hyperlink>
        </w:p>
        <w:p w14:paraId="480B8333" w14:textId="2F91606F" w:rsidR="002E31D7" w:rsidRDefault="002E31D7">
          <w:r>
            <w:rPr>
              <w:b/>
              <w:bCs/>
            </w:rPr>
            <w:fldChar w:fldCharType="end"/>
          </w:r>
        </w:p>
      </w:sdtContent>
    </w:sdt>
    <w:p w14:paraId="7CB524CC" w14:textId="77777777" w:rsidR="002E31D7" w:rsidRDefault="002E31D7" w:rsidP="009442FA">
      <w:pPr>
        <w:jc w:val="center"/>
        <w:rPr>
          <w:rStyle w:val="Textoennegrita"/>
          <w:sz w:val="48"/>
          <w:szCs w:val="48"/>
        </w:rPr>
      </w:pPr>
      <w:r>
        <w:rPr>
          <w:rStyle w:val="Textoennegrita"/>
          <w:sz w:val="48"/>
          <w:szCs w:val="48"/>
        </w:rPr>
        <w:br w:type="page"/>
      </w:r>
      <w:proofErr w:type="gramStart"/>
      <w:r w:rsidR="009442FA" w:rsidRPr="002E31D7">
        <w:rPr>
          <w:rStyle w:val="Textoennegrita"/>
          <w:sz w:val="48"/>
          <w:szCs w:val="48"/>
        </w:rPr>
        <w:lastRenderedPageBreak/>
        <w:t>.::</w:t>
      </w:r>
      <w:proofErr w:type="gramEnd"/>
      <w:r w:rsidR="009442FA" w:rsidRPr="002E31D7">
        <w:rPr>
          <w:rStyle w:val="Textoennegrita"/>
          <w:sz w:val="48"/>
          <w:szCs w:val="48"/>
        </w:rPr>
        <w:t xml:space="preserve"> Normativa ::.</w:t>
      </w:r>
    </w:p>
    <w:p w14:paraId="4C51AE2E" w14:textId="77777777" w:rsidR="002E31D7" w:rsidRPr="00D60297" w:rsidRDefault="002E31D7" w:rsidP="00D60297">
      <w:pPr>
        <w:pStyle w:val="Ttulo1"/>
      </w:pPr>
      <w:bookmarkStart w:id="0" w:name="_Toc166249471"/>
      <w:r w:rsidRPr="00D60297">
        <w:t>OBJETIVO</w:t>
      </w:r>
      <w:bookmarkEnd w:id="0"/>
    </w:p>
    <w:p w14:paraId="7493EF27" w14:textId="09D9FDEB" w:rsidR="002E31D7" w:rsidRPr="00782426" w:rsidRDefault="002E31D7" w:rsidP="00782426">
      <w:pPr>
        <w:rPr>
          <w:rFonts w:ascii="Cambria" w:hAnsi="Cambria" w:cs="Cambria"/>
          <w:color w:val="000000"/>
          <w:sz w:val="23"/>
          <w:szCs w:val="23"/>
        </w:rPr>
      </w:pPr>
      <w:r w:rsidRPr="00782426">
        <w:rPr>
          <w:rFonts w:ascii="Cambria" w:hAnsi="Cambria" w:cs="Cambria"/>
          <w:color w:val="000000"/>
          <w:sz w:val="23"/>
          <w:szCs w:val="23"/>
        </w:rPr>
        <w:t>El objeto del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 xml:space="preserve"> webinar </w:t>
      </w:r>
      <w:r w:rsidRPr="00782426">
        <w:rPr>
          <w:rFonts w:ascii="Cambria" w:hAnsi="Cambria" w:cs="Cambria"/>
          <w:color w:val="000000"/>
          <w:sz w:val="23"/>
          <w:szCs w:val="23"/>
        </w:rPr>
        <w:t>es la capacitación de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 xml:space="preserve">l alumno como </w:t>
      </w:r>
      <w:r w:rsidR="00344827" w:rsidRPr="00782426">
        <w:rPr>
          <w:rFonts w:ascii="Cambria" w:hAnsi="Cambria" w:cs="Cambria"/>
          <w:b/>
          <w:color w:val="000000"/>
          <w:sz w:val="23"/>
          <w:szCs w:val="23"/>
        </w:rPr>
        <w:t xml:space="preserve">Juez Árbitro </w:t>
      </w:r>
      <w:r w:rsidRPr="00782426">
        <w:rPr>
          <w:rFonts w:ascii="Cambria" w:hAnsi="Cambria" w:cs="Cambria"/>
          <w:b/>
          <w:color w:val="000000"/>
          <w:sz w:val="23"/>
          <w:szCs w:val="23"/>
        </w:rPr>
        <w:t xml:space="preserve">del </w:t>
      </w:r>
      <w:r w:rsidR="003A1097" w:rsidRPr="00782426">
        <w:rPr>
          <w:rFonts w:ascii="Cambria" w:hAnsi="Cambria" w:cs="Cambria"/>
          <w:b/>
          <w:color w:val="000000"/>
          <w:sz w:val="23"/>
          <w:szCs w:val="23"/>
        </w:rPr>
        <w:t>Pickleball</w:t>
      </w:r>
      <w:r w:rsidR="00C026C9">
        <w:rPr>
          <w:rFonts w:ascii="Cambria" w:hAnsi="Cambria" w:cs="Cambria"/>
          <w:color w:val="000000"/>
          <w:sz w:val="23"/>
          <w:szCs w:val="23"/>
        </w:rPr>
        <w:t xml:space="preserve"> en el ámbito nacional.</w:t>
      </w:r>
    </w:p>
    <w:p w14:paraId="6A4AA034" w14:textId="50579FF1" w:rsidR="002E31D7" w:rsidRDefault="002E31D7" w:rsidP="00782426">
      <w:pPr>
        <w:rPr>
          <w:rFonts w:ascii="Cambria" w:hAnsi="Cambria" w:cs="Cambria"/>
          <w:color w:val="000000"/>
          <w:sz w:val="23"/>
          <w:szCs w:val="23"/>
        </w:rPr>
      </w:pPr>
      <w:r w:rsidRPr="00782426">
        <w:rPr>
          <w:rFonts w:ascii="Cambria" w:hAnsi="Cambria" w:cs="Cambria"/>
          <w:color w:val="000000"/>
          <w:sz w:val="23"/>
          <w:szCs w:val="23"/>
        </w:rPr>
        <w:t xml:space="preserve">Mediante este curso el alumno 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>deberá superar la parte teórica</w:t>
      </w:r>
      <w:r w:rsidR="00782426" w:rsidRPr="00782426">
        <w:rPr>
          <w:rFonts w:ascii="Cambria" w:hAnsi="Cambria" w:cs="Cambria"/>
          <w:color w:val="000000"/>
          <w:sz w:val="23"/>
          <w:szCs w:val="23"/>
        </w:rPr>
        <w:t xml:space="preserve"> del curso de </w:t>
      </w:r>
      <w:r w:rsidRPr="00782426">
        <w:rPr>
          <w:rFonts w:ascii="Cambria" w:hAnsi="Cambria" w:cs="Cambria"/>
          <w:b/>
          <w:color w:val="000000"/>
          <w:sz w:val="23"/>
          <w:szCs w:val="23"/>
        </w:rPr>
        <w:t xml:space="preserve">Juez de </w:t>
      </w:r>
      <w:r w:rsidR="003A1097" w:rsidRPr="00782426">
        <w:rPr>
          <w:rFonts w:ascii="Cambria" w:hAnsi="Cambria" w:cs="Cambria"/>
          <w:b/>
          <w:color w:val="000000"/>
          <w:sz w:val="23"/>
          <w:szCs w:val="23"/>
        </w:rPr>
        <w:t>Pista</w:t>
      </w:r>
      <w:r w:rsidRPr="00782426">
        <w:rPr>
          <w:rFonts w:ascii="Cambria" w:hAnsi="Cambria" w:cs="Cambria"/>
          <w:b/>
          <w:color w:val="000000"/>
          <w:sz w:val="23"/>
          <w:szCs w:val="23"/>
        </w:rPr>
        <w:t xml:space="preserve"> Nacional de </w:t>
      </w:r>
      <w:r w:rsidR="00344827" w:rsidRPr="00782426">
        <w:rPr>
          <w:rFonts w:ascii="Cambria" w:hAnsi="Cambria" w:cs="Cambria"/>
          <w:b/>
          <w:color w:val="000000"/>
          <w:sz w:val="23"/>
          <w:szCs w:val="23"/>
        </w:rPr>
        <w:t>Pickleball</w:t>
      </w:r>
      <w:r w:rsidR="00782426">
        <w:rPr>
          <w:rFonts w:ascii="Cambria" w:hAnsi="Cambria" w:cs="Cambria"/>
          <w:color w:val="000000"/>
          <w:sz w:val="23"/>
          <w:szCs w:val="23"/>
        </w:rPr>
        <w:t>.</w:t>
      </w:r>
    </w:p>
    <w:p w14:paraId="4C9FB286" w14:textId="33FCB1DE" w:rsidR="00C026C9" w:rsidRPr="00782426" w:rsidRDefault="00C026C9" w:rsidP="00782426">
      <w:pPr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 xml:space="preserve">El webinar </w:t>
      </w:r>
      <w:r w:rsidRPr="00C026C9">
        <w:rPr>
          <w:rFonts w:ascii="Cambria" w:hAnsi="Cambria" w:cs="Cambria"/>
          <w:b/>
          <w:color w:val="000000"/>
          <w:sz w:val="23"/>
          <w:szCs w:val="23"/>
        </w:rPr>
        <w:t>NO</w:t>
      </w:r>
      <w:r>
        <w:rPr>
          <w:rFonts w:ascii="Cambria" w:hAnsi="Cambria" w:cs="Cambria"/>
          <w:color w:val="000000"/>
          <w:sz w:val="23"/>
          <w:szCs w:val="23"/>
        </w:rPr>
        <w:t xml:space="preserve"> habilita como Juez de Pista Nacional de Pickleball</w:t>
      </w:r>
      <w:r w:rsidR="00703A33">
        <w:rPr>
          <w:rFonts w:ascii="Cambria" w:hAnsi="Cambria" w:cs="Cambria"/>
          <w:color w:val="000000"/>
          <w:sz w:val="23"/>
          <w:szCs w:val="23"/>
        </w:rPr>
        <w:t>, a expensas de la realización de las pruebas prácticas</w:t>
      </w:r>
      <w:r>
        <w:rPr>
          <w:rFonts w:ascii="Cambria" w:hAnsi="Cambria" w:cs="Cambria"/>
          <w:color w:val="000000"/>
          <w:sz w:val="23"/>
          <w:szCs w:val="23"/>
        </w:rPr>
        <w:t>.</w:t>
      </w:r>
    </w:p>
    <w:p w14:paraId="4BF0E09A" w14:textId="77777777" w:rsidR="002E31D7" w:rsidRPr="00782426" w:rsidRDefault="002E31D7" w:rsidP="00782426">
      <w:pPr>
        <w:rPr>
          <w:rFonts w:ascii="Cambria" w:hAnsi="Cambria" w:cs="Cambria"/>
          <w:color w:val="000000"/>
          <w:sz w:val="23"/>
          <w:szCs w:val="23"/>
        </w:rPr>
      </w:pPr>
      <w:r w:rsidRPr="00782426">
        <w:rPr>
          <w:rFonts w:ascii="Cambria" w:hAnsi="Cambria" w:cs="Cambria"/>
          <w:color w:val="000000"/>
          <w:sz w:val="23"/>
          <w:szCs w:val="23"/>
        </w:rPr>
        <w:t xml:space="preserve">Asimismo, para matricularse 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>en</w:t>
      </w:r>
      <w:r w:rsidRPr="00782426">
        <w:rPr>
          <w:rFonts w:ascii="Cambria" w:hAnsi="Cambria" w:cs="Cambria"/>
          <w:color w:val="000000"/>
          <w:sz w:val="23"/>
          <w:szCs w:val="23"/>
        </w:rPr>
        <w:t xml:space="preserve"> 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>el webinar</w:t>
      </w:r>
      <w:r w:rsidRPr="00782426">
        <w:rPr>
          <w:rFonts w:ascii="Cambria" w:hAnsi="Cambria" w:cs="Cambria"/>
          <w:color w:val="000000"/>
          <w:sz w:val="23"/>
          <w:szCs w:val="23"/>
        </w:rPr>
        <w:t xml:space="preserve"> es requisito imprescindible </w:t>
      </w:r>
      <w:r w:rsidR="00344827" w:rsidRPr="00782426">
        <w:rPr>
          <w:rFonts w:ascii="Cambria" w:hAnsi="Cambria" w:cs="Cambria"/>
          <w:color w:val="000000"/>
          <w:sz w:val="23"/>
          <w:szCs w:val="23"/>
        </w:rPr>
        <w:t xml:space="preserve">ser </w:t>
      </w:r>
      <w:r w:rsidR="00344827" w:rsidRPr="00782426">
        <w:rPr>
          <w:rFonts w:ascii="Cambria" w:hAnsi="Cambria" w:cs="Cambria"/>
          <w:b/>
          <w:color w:val="000000"/>
          <w:sz w:val="23"/>
          <w:szCs w:val="23"/>
        </w:rPr>
        <w:t>Juez Árbitro de Tenis activo</w:t>
      </w:r>
      <w:r w:rsidRPr="00782426">
        <w:rPr>
          <w:rFonts w:ascii="Cambria" w:hAnsi="Cambria" w:cs="Cambria"/>
          <w:color w:val="000000"/>
          <w:sz w:val="23"/>
          <w:szCs w:val="23"/>
        </w:rPr>
        <w:t xml:space="preserve">. </w:t>
      </w:r>
    </w:p>
    <w:p w14:paraId="72E55B7E" w14:textId="77777777" w:rsidR="002E31D7" w:rsidRPr="000455C2" w:rsidRDefault="00D60297" w:rsidP="00D60297">
      <w:pPr>
        <w:pStyle w:val="Ttulo1"/>
      </w:pPr>
      <w:bookmarkStart w:id="1" w:name="_Toc166249472"/>
      <w:r w:rsidRPr="000455C2">
        <w:t>DIRECCIÓN Y PROFESORADO</w:t>
      </w:r>
      <w:bookmarkEnd w:id="1"/>
    </w:p>
    <w:p w14:paraId="63F3F206" w14:textId="77777777" w:rsidR="00D60297" w:rsidRPr="000455C2" w:rsidRDefault="00D60297" w:rsidP="00D60297">
      <w:pPr>
        <w:pStyle w:val="Ttulo2"/>
      </w:pPr>
      <w:bookmarkStart w:id="2" w:name="_Toc166249473"/>
      <w:r w:rsidRPr="000455C2">
        <w:t>DIRECCIÓN</w:t>
      </w:r>
      <w:bookmarkEnd w:id="2"/>
    </w:p>
    <w:p w14:paraId="2098B6C2" w14:textId="77777777" w:rsidR="00D60297" w:rsidRPr="00C026C9" w:rsidRDefault="00D60297" w:rsidP="00C026C9">
      <w:pPr>
        <w:jc w:val="both"/>
      </w:pPr>
      <w:r w:rsidRPr="00C026C9">
        <w:t xml:space="preserve">La formación </w:t>
      </w:r>
      <w:r w:rsidR="00344827" w:rsidRPr="00C026C9">
        <w:t>será competencia del</w:t>
      </w:r>
      <w:r w:rsidRPr="00C026C9">
        <w:t xml:space="preserve"> Comité Español de Árbitros de Tenis (CEAT). </w:t>
      </w:r>
    </w:p>
    <w:p w14:paraId="1DA7FD81" w14:textId="77777777" w:rsidR="00D60297" w:rsidRPr="00D60297" w:rsidRDefault="00D60297" w:rsidP="00D60297">
      <w:pPr>
        <w:pStyle w:val="Ttulo2"/>
      </w:pPr>
      <w:bookmarkStart w:id="3" w:name="_Toc166249474"/>
      <w:r w:rsidRPr="00D60297">
        <w:t>PROFESORADO.</w:t>
      </w:r>
      <w:bookmarkEnd w:id="3"/>
      <w:r w:rsidRPr="00D60297">
        <w:t xml:space="preserve"> </w:t>
      </w:r>
    </w:p>
    <w:p w14:paraId="50B50D36" w14:textId="77777777" w:rsidR="00D60297" w:rsidRPr="00C026C9" w:rsidRDefault="00D60297" w:rsidP="00C026C9">
      <w:pPr>
        <w:jc w:val="both"/>
      </w:pPr>
      <w:r w:rsidRPr="00C026C9">
        <w:t>El profesorado será designado por el CEAT.</w:t>
      </w:r>
    </w:p>
    <w:p w14:paraId="4CC8B82B" w14:textId="77777777" w:rsidR="00D60297" w:rsidRDefault="00D60297" w:rsidP="00D60297">
      <w:pPr>
        <w:pStyle w:val="Ttulo1"/>
      </w:pPr>
      <w:bookmarkStart w:id="4" w:name="_Toc166249475"/>
      <w:r>
        <w:t>NORMAS GENERALES</w:t>
      </w:r>
      <w:bookmarkEnd w:id="4"/>
    </w:p>
    <w:p w14:paraId="4B4E2482" w14:textId="77777777" w:rsidR="00D60297" w:rsidRPr="00D60297" w:rsidRDefault="00D60297" w:rsidP="00D60297">
      <w:pPr>
        <w:pStyle w:val="Ttulo2"/>
      </w:pPr>
      <w:bookmarkStart w:id="5" w:name="_Toc166249476"/>
      <w:r w:rsidRPr="00D60297">
        <w:t>REQUISITOS DE ACCESO.</w:t>
      </w:r>
      <w:bookmarkEnd w:id="5"/>
      <w:r w:rsidRPr="00D60297">
        <w:t xml:space="preserve"> </w:t>
      </w:r>
    </w:p>
    <w:p w14:paraId="71404CFD" w14:textId="77777777" w:rsidR="00D60297" w:rsidRDefault="00D60297" w:rsidP="00D60297">
      <w:pPr>
        <w:pStyle w:val="Prrafodelista"/>
        <w:numPr>
          <w:ilvl w:val="0"/>
          <w:numId w:val="15"/>
        </w:numPr>
      </w:pPr>
      <w:r w:rsidRPr="00D60297">
        <w:t>Estar en posesión de l</w:t>
      </w:r>
      <w:r w:rsidR="00344827">
        <w:t>a licencia en vigor de la RFET.</w:t>
      </w:r>
    </w:p>
    <w:p w14:paraId="4AD67FBE" w14:textId="6393A670" w:rsidR="00344827" w:rsidRDefault="00344827" w:rsidP="00D60297">
      <w:pPr>
        <w:pStyle w:val="Prrafodelista"/>
        <w:numPr>
          <w:ilvl w:val="0"/>
          <w:numId w:val="15"/>
        </w:numPr>
      </w:pPr>
      <w:r>
        <w:t>Ser Juez Árbitro de Tenis.</w:t>
      </w:r>
    </w:p>
    <w:p w14:paraId="55422130" w14:textId="1E4495DF" w:rsidR="00150A36" w:rsidRPr="00D60297" w:rsidRDefault="00150A36" w:rsidP="00150A36">
      <w:pPr>
        <w:pStyle w:val="Prrafodelista"/>
        <w:numPr>
          <w:ilvl w:val="0"/>
          <w:numId w:val="15"/>
        </w:numPr>
      </w:pPr>
      <w:r>
        <w:t>Tener conocimientos previos de los fundamentos del juego y del reglamento oficial de Pickleball.</w:t>
      </w:r>
    </w:p>
    <w:p w14:paraId="21EF835A" w14:textId="77777777" w:rsidR="00782426" w:rsidRDefault="00782426" w:rsidP="00782426">
      <w:pPr>
        <w:pStyle w:val="Ttulo2"/>
      </w:pPr>
      <w:bookmarkStart w:id="6" w:name="_Toc166249477"/>
      <w:r>
        <w:t>INSCRIPCIÓN.</w:t>
      </w:r>
      <w:bookmarkEnd w:id="6"/>
      <w:r>
        <w:t xml:space="preserve"> </w:t>
      </w:r>
    </w:p>
    <w:p w14:paraId="7C8ED9AD" w14:textId="0B67BE82" w:rsidR="00782426" w:rsidRDefault="00782426" w:rsidP="00782426">
      <w:pPr>
        <w:jc w:val="both"/>
      </w:pPr>
      <w:r>
        <w:t>Para poder realizar la inscripción debes rellenar un formulario de preinscripción que será facilitado</w:t>
      </w:r>
      <w:r w:rsidR="00150A36">
        <w:t xml:space="preserve"> por la secretaría Técnica del CEAT</w:t>
      </w:r>
      <w:r>
        <w:t>.</w:t>
      </w:r>
    </w:p>
    <w:p w14:paraId="0F41B4B7" w14:textId="77777777" w:rsidR="00D60297" w:rsidRPr="00D60297" w:rsidRDefault="00D60297" w:rsidP="00CB2620">
      <w:pPr>
        <w:pStyle w:val="Ttulo2"/>
      </w:pPr>
      <w:bookmarkStart w:id="7" w:name="_Toc166249478"/>
      <w:r w:rsidRPr="00D60297">
        <w:t>FORMA DE PAGO.</w:t>
      </w:r>
      <w:bookmarkEnd w:id="7"/>
      <w:r w:rsidRPr="00D60297">
        <w:t xml:space="preserve"> </w:t>
      </w:r>
    </w:p>
    <w:p w14:paraId="66BE957D" w14:textId="5476D398" w:rsidR="0086226B" w:rsidRDefault="00150A36" w:rsidP="00CB2620">
      <w:pPr>
        <w:jc w:val="both"/>
        <w:rPr>
          <w:sz w:val="23"/>
          <w:szCs w:val="23"/>
        </w:rPr>
      </w:pPr>
      <w:r>
        <w:t>La secretaría Técnica del CEAT</w:t>
      </w:r>
      <w:r w:rsidR="00D60297" w:rsidRPr="00D60297">
        <w:t xml:space="preserve"> </w:t>
      </w:r>
      <w:r w:rsidR="00344827">
        <w:t>remitirá por correo la forma de pago</w:t>
      </w:r>
      <w:r w:rsidR="0086226B" w:rsidRPr="0086226B">
        <w:t>.</w:t>
      </w:r>
    </w:p>
    <w:p w14:paraId="3879C16A" w14:textId="77777777" w:rsidR="00D60297" w:rsidRPr="00D60297" w:rsidRDefault="00D60297" w:rsidP="00CB2620">
      <w:pPr>
        <w:pStyle w:val="Ttulo2"/>
      </w:pPr>
      <w:bookmarkStart w:id="8" w:name="_Toc166249479"/>
      <w:r w:rsidRPr="00D60297">
        <w:t>ENTREGA DE MATERIAL.</w:t>
      </w:r>
      <w:bookmarkEnd w:id="8"/>
      <w:r w:rsidRPr="00D60297">
        <w:t xml:space="preserve"> </w:t>
      </w:r>
    </w:p>
    <w:p w14:paraId="31FDD3A7" w14:textId="77777777" w:rsidR="00CB2620" w:rsidRDefault="00D60297" w:rsidP="00CB2620">
      <w:pPr>
        <w:jc w:val="both"/>
      </w:pPr>
      <w:r w:rsidRPr="00D60297">
        <w:t xml:space="preserve">Una vez formalizada la inscripción y confirmado el curso, el alumno </w:t>
      </w:r>
      <w:r w:rsidR="00344827">
        <w:t xml:space="preserve">recibirá por correo electrónico </w:t>
      </w:r>
      <w:r w:rsidRPr="00D60297">
        <w:t>el material del curso, al objeto de revisarlo y prepararse con antelación a las sesiones online del curso.</w:t>
      </w:r>
    </w:p>
    <w:p w14:paraId="71AD86D4" w14:textId="77777777" w:rsidR="00CB2620" w:rsidRPr="00CB2620" w:rsidRDefault="00CB2620" w:rsidP="00CB2620">
      <w:pPr>
        <w:pStyle w:val="Ttulo1"/>
      </w:pPr>
      <w:bookmarkStart w:id="9" w:name="_Toc166249480"/>
      <w:r w:rsidRPr="00CB2620">
        <w:t>COMPETENCIAS</w:t>
      </w:r>
      <w:bookmarkEnd w:id="9"/>
      <w:r w:rsidRPr="00CB2620">
        <w:t xml:space="preserve"> </w:t>
      </w:r>
    </w:p>
    <w:p w14:paraId="291A7910" w14:textId="77777777" w:rsidR="00CB2620" w:rsidRPr="00CB2620" w:rsidRDefault="00344827" w:rsidP="00CB2620">
      <w:pPr>
        <w:jc w:val="both"/>
      </w:pPr>
      <w:r>
        <w:t>Superar ésta formación</w:t>
      </w:r>
      <w:r w:rsidR="00CB2620" w:rsidRPr="00CB2620">
        <w:t xml:space="preserve"> capacita para actuar como </w:t>
      </w:r>
      <w:r w:rsidR="00CB2620" w:rsidRPr="00344827">
        <w:rPr>
          <w:b/>
        </w:rPr>
        <w:t xml:space="preserve">Juez </w:t>
      </w:r>
      <w:r w:rsidRPr="00344827">
        <w:rPr>
          <w:b/>
        </w:rPr>
        <w:t>Árbitro de Pickleball</w:t>
      </w:r>
      <w:r w:rsidR="00CB2620" w:rsidRPr="00CB2620">
        <w:t xml:space="preserve"> en torneos nacionales oficiales. </w:t>
      </w:r>
    </w:p>
    <w:p w14:paraId="77A33300" w14:textId="77777777" w:rsidR="009C2433" w:rsidRDefault="009C2433" w:rsidP="009C2433">
      <w:pPr>
        <w:pStyle w:val="Ttulo1"/>
      </w:pPr>
      <w:bookmarkStart w:id="10" w:name="_Toc166249481"/>
      <w:r>
        <w:t>CRITERIOS ACADÉMICOS</w:t>
      </w:r>
      <w:bookmarkEnd w:id="10"/>
    </w:p>
    <w:p w14:paraId="4AE87F2F" w14:textId="77777777" w:rsidR="00CB2620" w:rsidRPr="00CB2620" w:rsidRDefault="00CB2620" w:rsidP="009C2433">
      <w:pPr>
        <w:pStyle w:val="Ttulo2"/>
      </w:pPr>
      <w:bookmarkStart w:id="11" w:name="_Toc166249482"/>
      <w:r w:rsidRPr="00CB2620">
        <w:lastRenderedPageBreak/>
        <w:t>NORMAS ACADÉMICAS</w:t>
      </w:r>
      <w:bookmarkEnd w:id="11"/>
      <w:r w:rsidRPr="00CB2620">
        <w:t xml:space="preserve"> </w:t>
      </w:r>
    </w:p>
    <w:p w14:paraId="54641566" w14:textId="09222380" w:rsidR="00CB2620" w:rsidRDefault="00CB2620" w:rsidP="00C026C9">
      <w:pPr>
        <w:pStyle w:val="Prrafodelista"/>
        <w:numPr>
          <w:ilvl w:val="0"/>
          <w:numId w:val="27"/>
        </w:numPr>
        <w:jc w:val="both"/>
      </w:pPr>
      <w:r w:rsidRPr="00CB2620">
        <w:t>Es obligatoria la asistencia</w:t>
      </w:r>
      <w:r w:rsidR="00150A36">
        <w:t xml:space="preserve"> a las clases online del curso con la webcam encendida y visualizando al alumno en todo momento.</w:t>
      </w:r>
    </w:p>
    <w:p w14:paraId="7DB88F02" w14:textId="6FF99549" w:rsidR="00150A36" w:rsidRDefault="00150A36" w:rsidP="00C026C9">
      <w:pPr>
        <w:pStyle w:val="Prrafodelista"/>
        <w:numPr>
          <w:ilvl w:val="0"/>
          <w:numId w:val="27"/>
        </w:numPr>
        <w:jc w:val="both"/>
      </w:pPr>
      <w:r>
        <w:t xml:space="preserve">Para la realización de los test el alumno, además de la cámara principal, deberá conectarse con una segunda </w:t>
      </w:r>
      <w:r w:rsidR="00C026C9">
        <w:t>cámara que apunte al escritorio.</w:t>
      </w:r>
    </w:p>
    <w:p w14:paraId="54E11578" w14:textId="42B5F8D3" w:rsidR="00C026C9" w:rsidRDefault="00C026C9" w:rsidP="00C026C9">
      <w:pPr>
        <w:pStyle w:val="Prrafodelista"/>
        <w:numPr>
          <w:ilvl w:val="0"/>
          <w:numId w:val="27"/>
        </w:numPr>
        <w:jc w:val="both"/>
      </w:pPr>
      <w:r>
        <w:t>En ambas sesiones el alumno debe identificarse con el nombre completo o el correo con el que realizó la inscripción.</w:t>
      </w:r>
    </w:p>
    <w:p w14:paraId="1E95D667" w14:textId="77777777" w:rsidR="00CB2620" w:rsidRPr="00CB2620" w:rsidRDefault="00CB2620" w:rsidP="008C370F">
      <w:pPr>
        <w:pStyle w:val="Ttulo2"/>
      </w:pPr>
      <w:bookmarkStart w:id="12" w:name="_Toc166249483"/>
      <w:r w:rsidRPr="00CB2620">
        <w:t>GUÍA TEMPORAL DEL CURSO</w:t>
      </w:r>
      <w:bookmarkEnd w:id="12"/>
      <w:r w:rsidRPr="00CB2620">
        <w:t xml:space="preserve"> </w:t>
      </w:r>
    </w:p>
    <w:p w14:paraId="754EF9EB" w14:textId="77777777" w:rsidR="00CB2620" w:rsidRPr="00CB2620" w:rsidRDefault="00CB2620" w:rsidP="009C2433">
      <w:pPr>
        <w:jc w:val="both"/>
      </w:pPr>
      <w:r w:rsidRPr="00CB2620">
        <w:t>El curso consta de</w:t>
      </w:r>
      <w:r w:rsidR="00344827">
        <w:t>:</w:t>
      </w:r>
      <w:r w:rsidRPr="00CB2620">
        <w:t xml:space="preserve"> </w:t>
      </w:r>
    </w:p>
    <w:p w14:paraId="71D697AA" w14:textId="7A72D118" w:rsidR="00CB2620" w:rsidRPr="00CB2620" w:rsidRDefault="00CB2620" w:rsidP="008C370F">
      <w:pPr>
        <w:pStyle w:val="Prrafodelista"/>
        <w:numPr>
          <w:ilvl w:val="0"/>
          <w:numId w:val="18"/>
        </w:numPr>
        <w:jc w:val="both"/>
      </w:pPr>
      <w:r w:rsidRPr="00CB2620">
        <w:t xml:space="preserve">Bloque 1: Autoaprendizaje guiado por el profesor que el alumno efectúa los días anteriores a las clases online. </w:t>
      </w:r>
    </w:p>
    <w:p w14:paraId="26BA2BE0" w14:textId="2030CEB9" w:rsidR="00782426" w:rsidRPr="00CB2620" w:rsidRDefault="00CB2620" w:rsidP="00FB64B9">
      <w:pPr>
        <w:pStyle w:val="Prrafodelista"/>
        <w:numPr>
          <w:ilvl w:val="0"/>
          <w:numId w:val="18"/>
        </w:numPr>
        <w:jc w:val="both"/>
      </w:pPr>
      <w:r w:rsidRPr="00CB2620">
        <w:t xml:space="preserve">Bloque 2: Clases online. Durante </w:t>
      </w:r>
      <w:r w:rsidR="00CD4041">
        <w:t>el periodo establecido,</w:t>
      </w:r>
      <w:r w:rsidRPr="00CB2620">
        <w:t xml:space="preserve"> el alumno asiste a clases con el resto de compañeros y el profesor, realizando un test inicial </w:t>
      </w:r>
      <w:r w:rsidR="00CD4041">
        <w:t>al principio</w:t>
      </w:r>
      <w:r w:rsidRPr="00CB2620">
        <w:t xml:space="preserve"> y un examen final </w:t>
      </w:r>
      <w:r w:rsidR="00CD4041">
        <w:t>al final</w:t>
      </w:r>
      <w:r w:rsidRPr="00CB2620">
        <w:t xml:space="preserve"> de las clases online. </w:t>
      </w:r>
    </w:p>
    <w:p w14:paraId="4F31E9C5" w14:textId="77777777" w:rsidR="001E6718" w:rsidRPr="001E6718" w:rsidRDefault="001E6718" w:rsidP="001E6718">
      <w:pPr>
        <w:pStyle w:val="Ttulo2"/>
      </w:pPr>
      <w:bookmarkStart w:id="13" w:name="_Toc166249484"/>
      <w:r w:rsidRPr="001E6718">
        <w:t>EVALUACIÓN.</w:t>
      </w:r>
      <w:bookmarkEnd w:id="13"/>
      <w:r w:rsidRPr="001E6718">
        <w:t xml:space="preserve"> </w:t>
      </w:r>
    </w:p>
    <w:p w14:paraId="48E209A6" w14:textId="77777777" w:rsidR="001E6718" w:rsidRDefault="001E6718" w:rsidP="001E6718">
      <w:pPr>
        <w:jc w:val="both"/>
      </w:pPr>
      <w:r w:rsidRPr="001E6718">
        <w:t xml:space="preserve">Para la </w:t>
      </w:r>
      <w:r w:rsidR="00CD4041">
        <w:t>superación del webinar</w:t>
      </w:r>
      <w:r w:rsidRPr="001E6718">
        <w:t xml:space="preserve"> de Juez de </w:t>
      </w:r>
      <w:r>
        <w:t>Pista</w:t>
      </w:r>
      <w:r w:rsidRPr="001E6718">
        <w:t xml:space="preserve"> Nacional de </w:t>
      </w:r>
      <w:r>
        <w:t>Pickleball</w:t>
      </w:r>
      <w:r w:rsidRPr="001E6718">
        <w:t xml:space="preserve">, el alumno debe aprobar </w:t>
      </w:r>
      <w:r w:rsidR="00CD4041">
        <w:t>el</w:t>
      </w:r>
      <w:r w:rsidRPr="001E6718">
        <w:t xml:space="preserve"> bloque</w:t>
      </w:r>
      <w:r w:rsidR="00CD4041">
        <w:t xml:space="preserve"> </w:t>
      </w:r>
      <w:r w:rsidRPr="001E6718">
        <w:t>Teórico.</w:t>
      </w:r>
    </w:p>
    <w:p w14:paraId="22991267" w14:textId="77777777" w:rsidR="001E6718" w:rsidRDefault="001E6718" w:rsidP="001E6718">
      <w:pPr>
        <w:jc w:val="both"/>
      </w:pPr>
      <w:r w:rsidRPr="001E6718">
        <w:rPr>
          <w:u w:val="single"/>
        </w:rPr>
        <w:t>Bloque Teórico</w:t>
      </w:r>
      <w:r w:rsidRPr="001E6718">
        <w:t>. La nota final del bloque se obtendrá a partir de las siguientes componentes:</w:t>
      </w:r>
    </w:p>
    <w:p w14:paraId="6563BEE0" w14:textId="432A9295" w:rsidR="001E6718" w:rsidRDefault="001E6718" w:rsidP="001E6718">
      <w:pPr>
        <w:pStyle w:val="Prrafodelista"/>
        <w:numPr>
          <w:ilvl w:val="0"/>
          <w:numId w:val="20"/>
        </w:numPr>
        <w:jc w:val="both"/>
      </w:pPr>
      <w:r w:rsidRPr="001E6718">
        <w:t>Test inicial (1</w:t>
      </w:r>
      <w:r w:rsidR="00D34E6C">
        <w:t>5</w:t>
      </w:r>
      <w:r w:rsidRPr="001E6718">
        <w:t>% de la nota final)</w:t>
      </w:r>
      <w:r w:rsidR="00C026C9">
        <w:t xml:space="preserve"> de 10 preguntas tipo test</w:t>
      </w:r>
      <w:r w:rsidRPr="001E6718">
        <w:t>, que se realizará al inicio de la fase presencial</w:t>
      </w:r>
      <w:r w:rsidR="00150A36">
        <w:rPr>
          <w:color w:val="000000"/>
        </w:rPr>
        <w:t xml:space="preserve"> y en el que no se permitirá la consulta de ningún material</w:t>
      </w:r>
      <w:r w:rsidRPr="001E6718">
        <w:t xml:space="preserve">, con el fin de garantizar que los alumnos </w:t>
      </w:r>
      <w:r w:rsidR="00150A36">
        <w:t>han estudiado</w:t>
      </w:r>
      <w:r w:rsidRPr="001E6718">
        <w:t xml:space="preserve"> el temario antes de la fase online</w:t>
      </w:r>
      <w:r w:rsidR="00AC2DC3" w:rsidRPr="001E6718">
        <w:t>. Cada acierto equivaldrá a un punto.</w:t>
      </w:r>
    </w:p>
    <w:p w14:paraId="3F2E8137" w14:textId="02292F13" w:rsidR="001E6718" w:rsidRPr="001E6718" w:rsidRDefault="001E6718" w:rsidP="00C026C9">
      <w:pPr>
        <w:pStyle w:val="Prrafodelista"/>
        <w:numPr>
          <w:ilvl w:val="0"/>
          <w:numId w:val="20"/>
        </w:numPr>
        <w:jc w:val="both"/>
      </w:pPr>
      <w:r w:rsidRPr="001E6718">
        <w:t>Examen final (</w:t>
      </w:r>
      <w:r w:rsidR="00D34E6C">
        <w:t>85</w:t>
      </w:r>
      <w:r w:rsidRPr="001E6718">
        <w:t>% de la nota final</w:t>
      </w:r>
      <w:r w:rsidR="00782426" w:rsidRPr="00C026C9">
        <w:rPr>
          <w:color w:val="000000"/>
        </w:rPr>
        <w:t>)</w:t>
      </w:r>
      <w:r w:rsidR="00C026C9" w:rsidRPr="00C026C9">
        <w:t xml:space="preserve"> </w:t>
      </w:r>
      <w:r w:rsidR="00C026C9" w:rsidRPr="001E6718">
        <w:t xml:space="preserve">de </w:t>
      </w:r>
      <w:r w:rsidR="00C026C9">
        <w:t>3</w:t>
      </w:r>
      <w:r w:rsidR="00C026C9" w:rsidRPr="001E6718">
        <w:t>0 preguntas tipo test</w:t>
      </w:r>
      <w:r w:rsidR="00782426" w:rsidRPr="00C026C9">
        <w:rPr>
          <w:color w:val="000000"/>
        </w:rPr>
        <w:t xml:space="preserve"> y en el que no se permitirá la consulta de ningún material</w:t>
      </w:r>
      <w:r w:rsidR="00C026C9">
        <w:rPr>
          <w:color w:val="000000"/>
        </w:rPr>
        <w:t>.</w:t>
      </w:r>
      <w:r w:rsidR="00C026C9">
        <w:t xml:space="preserve"> </w:t>
      </w:r>
      <w:r w:rsidRPr="001E6718">
        <w:t>Cada acierto equivaldrá a un punto</w:t>
      </w:r>
      <w:r w:rsidR="00C026C9">
        <w:t xml:space="preserve"> y cada error restará 0,1 punto</w:t>
      </w:r>
      <w:r w:rsidRPr="001E6718">
        <w:t xml:space="preserve">. El aprobado requerirá alcanzar al menos </w:t>
      </w:r>
      <w:r w:rsidR="00C026C9">
        <w:t>las 2/3 partes</w:t>
      </w:r>
      <w:r w:rsidRPr="001E6718">
        <w:t xml:space="preserve"> de la puntuación máxima en esta parte.</w:t>
      </w:r>
    </w:p>
    <w:p w14:paraId="761FEA8D" w14:textId="77777777" w:rsidR="001E6718" w:rsidRDefault="001E6718" w:rsidP="001E6718">
      <w:pPr>
        <w:jc w:val="both"/>
      </w:pPr>
      <w:r w:rsidRPr="001E6718">
        <w:t>El acta de notas refleja la calificación de “Apto” o “No Apto”.</w:t>
      </w:r>
    </w:p>
    <w:p w14:paraId="41761FAE" w14:textId="3C231A60" w:rsidR="00D34E6C" w:rsidRDefault="0034491C" w:rsidP="00D34E6C">
      <w:pPr>
        <w:pStyle w:val="Ttulo2"/>
      </w:pPr>
      <w:bookmarkStart w:id="14" w:name="_Toc166249485"/>
      <w:r>
        <w:t>CONVOCATORIAS</w:t>
      </w:r>
      <w:bookmarkEnd w:id="14"/>
    </w:p>
    <w:p w14:paraId="6BAA24CF" w14:textId="77777777" w:rsidR="00D34E6C" w:rsidRDefault="00D34E6C" w:rsidP="001E6718">
      <w:pPr>
        <w:jc w:val="both"/>
      </w:pPr>
      <w:r>
        <w:t>Se celebrarán dos convocatorias para cada promoción.</w:t>
      </w:r>
    </w:p>
    <w:p w14:paraId="795307CA" w14:textId="77777777" w:rsidR="00D34E6C" w:rsidRDefault="00D34E6C" w:rsidP="00D34E6C">
      <w:pPr>
        <w:pStyle w:val="Prrafodelista"/>
        <w:numPr>
          <w:ilvl w:val="0"/>
          <w:numId w:val="26"/>
        </w:numPr>
        <w:jc w:val="both"/>
      </w:pPr>
      <w:r>
        <w:t>La nota de la primera convocatoria saldrá de la suma de las notas de las pruebas durante las clases online, tal como se detalla en el apartado 5.3. Evaluación</w:t>
      </w:r>
    </w:p>
    <w:p w14:paraId="015ED47C" w14:textId="50DE07A2" w:rsidR="00D34E6C" w:rsidRDefault="00D34E6C" w:rsidP="00D34E6C">
      <w:pPr>
        <w:pStyle w:val="Prrafodelista"/>
        <w:numPr>
          <w:ilvl w:val="0"/>
          <w:numId w:val="26"/>
        </w:numPr>
        <w:jc w:val="both"/>
      </w:pPr>
      <w:r>
        <w:t xml:space="preserve">La nota de la segunda convocatoria, en caso de que el alumno no hubiese superado satisfactoriamente la primera, se determinará a partir de un único examen compuesto </w:t>
      </w:r>
      <w:r w:rsidR="008F457C">
        <w:t>de 40 preguntas</w:t>
      </w:r>
      <w:r>
        <w:t xml:space="preserve">, desarrollados tal como se explica en el punto 5.3. Evaluación, aunque la nota de este examen conformará el 100% de la nota definitiva. La segunda convocatoria tendrá lugar en un plazo de entre </w:t>
      </w:r>
      <w:r w:rsidR="00FB64B9">
        <w:t>una</w:t>
      </w:r>
      <w:r>
        <w:t xml:space="preserve"> y </w:t>
      </w:r>
      <w:r w:rsidR="00FB64B9">
        <w:t>dos</w:t>
      </w:r>
      <w:r>
        <w:t xml:space="preserve"> semanas después de la primera.</w:t>
      </w:r>
    </w:p>
    <w:p w14:paraId="70D7AB63" w14:textId="4AAC627C" w:rsidR="00703A33" w:rsidRDefault="00703A33" w:rsidP="00D34E6C">
      <w:pPr>
        <w:pStyle w:val="Prrafodelista"/>
        <w:numPr>
          <w:ilvl w:val="0"/>
          <w:numId w:val="26"/>
        </w:numPr>
        <w:jc w:val="both"/>
      </w:pPr>
      <w:r>
        <w:t>En caso de no superar ninguna de las 2 convocatorias, al finalizar todos los webinar</w:t>
      </w:r>
      <w:bookmarkStart w:id="15" w:name="_GoBack"/>
      <w:bookmarkEnd w:id="15"/>
      <w:r>
        <w:t>, se realizará una convocatoria extraordinaria.</w:t>
      </w:r>
    </w:p>
    <w:p w14:paraId="2E0A5584" w14:textId="77777777" w:rsidR="001E6718" w:rsidRPr="001E6718" w:rsidRDefault="001E6718" w:rsidP="00567E58">
      <w:pPr>
        <w:pStyle w:val="Ttulo2"/>
      </w:pPr>
      <w:bookmarkStart w:id="16" w:name="_Toc166249486"/>
      <w:r w:rsidRPr="001E6718">
        <w:t>COMUNICACIÓN DE NOTAS.</w:t>
      </w:r>
      <w:bookmarkEnd w:id="16"/>
      <w:r w:rsidRPr="001E6718">
        <w:t xml:space="preserve"> </w:t>
      </w:r>
    </w:p>
    <w:p w14:paraId="5D7F72D5" w14:textId="77777777" w:rsidR="001E6718" w:rsidRDefault="001E6718" w:rsidP="001E6718">
      <w:pPr>
        <w:jc w:val="both"/>
      </w:pPr>
      <w:r w:rsidRPr="001E6718">
        <w:t xml:space="preserve">Las calificaciones del alumno se </w:t>
      </w:r>
      <w:r w:rsidR="00CD4041">
        <w:t>comunicarán por correo electrónico</w:t>
      </w:r>
      <w:r w:rsidRPr="001E6718">
        <w:t>.</w:t>
      </w:r>
    </w:p>
    <w:sectPr w:rsidR="001E6718" w:rsidSect="00BB45DB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9A31C" w14:textId="77777777" w:rsidR="00922126" w:rsidRDefault="00922126" w:rsidP="00BB45DB">
      <w:pPr>
        <w:spacing w:after="0" w:line="240" w:lineRule="auto"/>
      </w:pPr>
      <w:r>
        <w:separator/>
      </w:r>
    </w:p>
  </w:endnote>
  <w:endnote w:type="continuationSeparator" w:id="0">
    <w:p w14:paraId="7AA73B5F" w14:textId="77777777" w:rsidR="00922126" w:rsidRDefault="00922126" w:rsidP="00BB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529624"/>
      <w:docPartObj>
        <w:docPartGallery w:val="Page Numbers (Bottom of Page)"/>
        <w:docPartUnique/>
      </w:docPartObj>
    </w:sdtPr>
    <w:sdtEndPr/>
    <w:sdtContent>
      <w:p w14:paraId="0D5CE2A5" w14:textId="23296A6A" w:rsidR="005E44D7" w:rsidRDefault="005E44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A33">
          <w:rPr>
            <w:noProof/>
          </w:rPr>
          <w:t>3</w:t>
        </w:r>
        <w:r>
          <w:fldChar w:fldCharType="end"/>
        </w:r>
      </w:p>
    </w:sdtContent>
  </w:sdt>
  <w:p w14:paraId="3F6F89D1" w14:textId="77777777" w:rsidR="00BB45DB" w:rsidRDefault="005E44D7">
    <w:pPr>
      <w:pStyle w:val="Piedepgina"/>
    </w:pPr>
    <w:r w:rsidRPr="005E44D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41914412" wp14:editId="7CED36A2">
          <wp:simplePos x="0" y="0"/>
          <wp:positionH relativeFrom="column">
            <wp:posOffset>4683760</wp:posOffset>
          </wp:positionH>
          <wp:positionV relativeFrom="paragraph">
            <wp:posOffset>-635</wp:posOffset>
          </wp:positionV>
          <wp:extent cx="1457960" cy="352425"/>
          <wp:effectExtent l="0" t="0" r="8890" b="9525"/>
          <wp:wrapNone/>
          <wp:docPr id="7" name="0 Imagen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0 Imagen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44D7"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3355EBB9" wp14:editId="0240F040">
          <wp:simplePos x="0" y="0"/>
          <wp:positionH relativeFrom="column">
            <wp:posOffset>0</wp:posOffset>
          </wp:positionH>
          <wp:positionV relativeFrom="paragraph">
            <wp:posOffset>59055</wp:posOffset>
          </wp:positionV>
          <wp:extent cx="1460500" cy="284480"/>
          <wp:effectExtent l="0" t="0" r="6350" b="1270"/>
          <wp:wrapNone/>
          <wp:docPr id="8" name="Imagen 8" descr="Escala de tiem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scala de tiempo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4605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98E8" w14:textId="77777777" w:rsidR="00922126" w:rsidRDefault="00922126" w:rsidP="00BB45DB">
      <w:pPr>
        <w:spacing w:after="0" w:line="240" w:lineRule="auto"/>
      </w:pPr>
      <w:r>
        <w:separator/>
      </w:r>
    </w:p>
  </w:footnote>
  <w:footnote w:type="continuationSeparator" w:id="0">
    <w:p w14:paraId="68D02155" w14:textId="77777777" w:rsidR="00922126" w:rsidRDefault="00922126" w:rsidP="00BB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41" w:rightFromText="141" w:vertAnchor="text" w:horzAnchor="margin" w:tblpY="-258"/>
      <w:tblOverlap w:val="never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242"/>
      <w:gridCol w:w="1985"/>
    </w:tblGrid>
    <w:tr w:rsidR="000B4ABA" w14:paraId="673AAD91" w14:textId="77777777" w:rsidTr="00344827">
      <w:trPr>
        <w:trHeight w:val="275"/>
      </w:trPr>
      <w:tc>
        <w:tcPr>
          <w:tcW w:w="2263" w:type="dxa"/>
        </w:tcPr>
        <w:p w14:paraId="66E47C56" w14:textId="77777777" w:rsidR="000B4ABA" w:rsidRPr="006C23DF" w:rsidRDefault="000B4ABA" w:rsidP="000B4ABA">
          <w:pPr>
            <w:pStyle w:val="Encabezado"/>
            <w:spacing w:before="0"/>
            <w:rPr>
              <w:rFonts w:ascii="Tahoma" w:eastAsiaTheme="minorHAnsi" w:hAnsi="Tahoma" w:cs="Tahoma"/>
              <w:color w:val="993300"/>
              <w:sz w:val="16"/>
              <w:szCs w:val="16"/>
            </w:rPr>
          </w:pPr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 xml:space="preserve">Gran </w:t>
          </w:r>
          <w:proofErr w:type="spellStart"/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Via</w:t>
          </w:r>
          <w:proofErr w:type="spellEnd"/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 xml:space="preserve"> Carles III, 124</w:t>
          </w:r>
        </w:p>
        <w:p w14:paraId="6682E16E" w14:textId="77777777" w:rsidR="000B4ABA" w:rsidRPr="006C23DF" w:rsidRDefault="000B4ABA" w:rsidP="000B4ABA">
          <w:pPr>
            <w:pStyle w:val="Encabezado"/>
            <w:spacing w:before="0"/>
            <w:rPr>
              <w:rFonts w:ascii="Tahoma" w:eastAsiaTheme="minorHAnsi" w:hAnsi="Tahoma" w:cs="Tahoma"/>
              <w:color w:val="993300"/>
              <w:sz w:val="16"/>
              <w:szCs w:val="16"/>
            </w:rPr>
          </w:pPr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08034 - Barcelona, España</w:t>
          </w:r>
        </w:p>
        <w:p w14:paraId="460F3245" w14:textId="77777777" w:rsidR="000B4ABA" w:rsidRPr="006C23DF" w:rsidRDefault="000B4ABA" w:rsidP="000B4ABA">
          <w:pPr>
            <w:pStyle w:val="Encabezado"/>
            <w:spacing w:before="0"/>
            <w:rPr>
              <w:rFonts w:ascii="Tahoma" w:eastAsiaTheme="minorHAnsi" w:hAnsi="Tahoma" w:cs="Tahoma"/>
              <w:color w:val="993300"/>
              <w:sz w:val="16"/>
              <w:szCs w:val="16"/>
            </w:rPr>
          </w:pPr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T. +34.932.005.355</w:t>
          </w:r>
        </w:p>
        <w:p w14:paraId="50085DD4" w14:textId="77777777" w:rsidR="000B4ABA" w:rsidRPr="006C23DF" w:rsidRDefault="000B4ABA" w:rsidP="000B4ABA">
          <w:pPr>
            <w:pStyle w:val="Encabezado"/>
            <w:spacing w:before="0"/>
            <w:rPr>
              <w:rFonts w:ascii="Tahoma" w:eastAsiaTheme="minorHAnsi" w:hAnsi="Tahoma" w:cs="Tahoma"/>
              <w:color w:val="993300"/>
              <w:sz w:val="16"/>
              <w:szCs w:val="16"/>
            </w:rPr>
          </w:pPr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www.rfet.es | @</w:t>
          </w:r>
          <w:proofErr w:type="spellStart"/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RFETenis</w:t>
          </w:r>
          <w:proofErr w:type="spellEnd"/>
        </w:p>
        <w:p w14:paraId="6C0462E8" w14:textId="77777777" w:rsidR="000B4ABA" w:rsidRPr="006C23DF" w:rsidRDefault="000B4ABA" w:rsidP="000B4ABA">
          <w:pPr>
            <w:pStyle w:val="Encabezado"/>
            <w:spacing w:before="0"/>
            <w:rPr>
              <w:rFonts w:ascii="Tahoma" w:hAnsi="Tahoma" w:cs="Tahoma"/>
              <w:color w:val="993300"/>
              <w:sz w:val="16"/>
              <w:szCs w:val="16"/>
            </w:rPr>
          </w:pPr>
          <w:r w:rsidRPr="006C23DF">
            <w:rPr>
              <w:rFonts w:ascii="Tahoma" w:eastAsiaTheme="minorHAnsi" w:hAnsi="Tahoma" w:cs="Tahoma"/>
              <w:color w:val="993300"/>
              <w:sz w:val="16"/>
              <w:szCs w:val="16"/>
            </w:rPr>
            <w:t>roberto.perez@rfet.es</w:t>
          </w:r>
        </w:p>
      </w:tc>
      <w:tc>
        <w:tcPr>
          <w:tcW w:w="6242" w:type="dxa"/>
          <w:tcBorders>
            <w:bottom w:val="double" w:sz="24" w:space="0" w:color="F0A22E" w:themeColor="accent1"/>
          </w:tcBorders>
        </w:tcPr>
        <w:p w14:paraId="7F5356C3" w14:textId="77777777" w:rsidR="000B4ABA" w:rsidRDefault="00344827" w:rsidP="00344827">
          <w:pPr>
            <w:pStyle w:val="Encabezado"/>
          </w:pPr>
          <w:r>
            <w:rPr>
              <w:rFonts w:ascii="Haettenschweiler" w:hAnsi="Haettenschweiler" w:cs="Haettenschweiler"/>
              <w:color w:val="818181"/>
              <w:sz w:val="44"/>
              <w:szCs w:val="44"/>
            </w:rPr>
            <w:t>WEBINAR</w:t>
          </w:r>
          <w:r w:rsidR="000B4ABA">
            <w:rPr>
              <w:rFonts w:ascii="Haettenschweiler" w:hAnsi="Haettenschweiler" w:cs="Haettenschweiler"/>
              <w:color w:val="818181"/>
              <w:sz w:val="44"/>
              <w:szCs w:val="44"/>
            </w:rPr>
            <w:t xml:space="preserve"> </w:t>
          </w:r>
          <w:r w:rsidR="000B4ABA">
            <w:rPr>
              <w:rFonts w:ascii="Haettenschweiler" w:hAnsi="Haettenschweiler" w:cs="Haettenschweiler"/>
              <w:color w:val="000000"/>
              <w:sz w:val="44"/>
              <w:szCs w:val="44"/>
            </w:rPr>
            <w:t xml:space="preserve">JUEZ DE PISTA NACIONAL </w:t>
          </w:r>
          <w:r w:rsidR="000B4ABA">
            <w:rPr>
              <w:rFonts w:ascii="Haettenschweiler" w:hAnsi="Haettenschweiler" w:cs="Haettenschweiler"/>
              <w:color w:val="FF9A33"/>
              <w:sz w:val="32"/>
              <w:szCs w:val="32"/>
            </w:rPr>
            <w:t xml:space="preserve">DE </w:t>
          </w:r>
          <w:r>
            <w:rPr>
              <w:rFonts w:ascii="Haettenschweiler" w:hAnsi="Haettenschweiler" w:cs="Haettenschweiler"/>
              <w:color w:val="FF9A33"/>
              <w:sz w:val="32"/>
              <w:szCs w:val="32"/>
            </w:rPr>
            <w:t>P</w:t>
          </w:r>
          <w:r w:rsidR="000B4ABA">
            <w:rPr>
              <w:rFonts w:ascii="Haettenschweiler" w:hAnsi="Haettenschweiler" w:cs="Haettenschweiler"/>
              <w:color w:val="FF9A33"/>
              <w:sz w:val="32"/>
              <w:szCs w:val="32"/>
            </w:rPr>
            <w:t>ICKLEBALL</w:t>
          </w:r>
        </w:p>
      </w:tc>
      <w:tc>
        <w:tcPr>
          <w:tcW w:w="1985" w:type="dxa"/>
        </w:tcPr>
        <w:p w14:paraId="3B347A0A" w14:textId="77777777" w:rsidR="000B4ABA" w:rsidRDefault="000B4ABA" w:rsidP="000B4ABA">
          <w:pPr>
            <w:pStyle w:val="Encabezado"/>
            <w:jc w:val="right"/>
          </w:pPr>
          <w:r>
            <w:rPr>
              <w:rFonts w:ascii="Tahoma" w:hAnsi="Tahoma" w:cs="Tahoma"/>
              <w:noProof/>
              <w:color w:val="993300"/>
              <w:sz w:val="16"/>
              <w:szCs w:val="16"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FE17F2E" wp14:editId="48D8D5DC">
                <wp:simplePos x="0" y="0"/>
                <wp:positionH relativeFrom="column">
                  <wp:posOffset>196850</wp:posOffset>
                </wp:positionH>
                <wp:positionV relativeFrom="paragraph">
                  <wp:posOffset>-61595</wp:posOffset>
                </wp:positionV>
                <wp:extent cx="970290" cy="868680"/>
                <wp:effectExtent l="0" t="0" r="1270" b="7620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EA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0290" cy="86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1218F02" w14:textId="77777777" w:rsidR="00BB45DB" w:rsidRDefault="00BB45DB" w:rsidP="000B4A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DFC"/>
    <w:multiLevelType w:val="hybridMultilevel"/>
    <w:tmpl w:val="943A1376"/>
    <w:lvl w:ilvl="0" w:tplc="DCF6810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2B6CAA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A206A67"/>
    <w:multiLevelType w:val="hybridMultilevel"/>
    <w:tmpl w:val="57B0657E"/>
    <w:lvl w:ilvl="0" w:tplc="DCF6810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A4201"/>
    <w:multiLevelType w:val="hybridMultilevel"/>
    <w:tmpl w:val="B930E848"/>
    <w:lvl w:ilvl="0" w:tplc="DCF6810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6B5"/>
    <w:multiLevelType w:val="hybridMultilevel"/>
    <w:tmpl w:val="F5CA0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4736"/>
    <w:multiLevelType w:val="hybridMultilevel"/>
    <w:tmpl w:val="2A346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243B"/>
    <w:multiLevelType w:val="hybridMultilevel"/>
    <w:tmpl w:val="5360F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72C3D"/>
    <w:multiLevelType w:val="multilevel"/>
    <w:tmpl w:val="B49A1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1A651E2"/>
    <w:multiLevelType w:val="hybridMultilevel"/>
    <w:tmpl w:val="2954BE0E"/>
    <w:lvl w:ilvl="0" w:tplc="DCF6810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46355"/>
    <w:multiLevelType w:val="hybridMultilevel"/>
    <w:tmpl w:val="F8CC3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E50B6"/>
    <w:multiLevelType w:val="hybridMultilevel"/>
    <w:tmpl w:val="3D38E860"/>
    <w:lvl w:ilvl="0" w:tplc="DCF6810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C0067"/>
    <w:multiLevelType w:val="hybridMultilevel"/>
    <w:tmpl w:val="216A4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1"/>
  </w:num>
  <w:num w:numId="16">
    <w:abstractNumId w:val="5"/>
  </w:num>
  <w:num w:numId="17">
    <w:abstractNumId w:val="2"/>
  </w:num>
  <w:num w:numId="18">
    <w:abstractNumId w:val="3"/>
  </w:num>
  <w:num w:numId="19">
    <w:abstractNumId w:val="0"/>
  </w:num>
  <w:num w:numId="20">
    <w:abstractNumId w:val="8"/>
  </w:num>
  <w:num w:numId="21">
    <w:abstractNumId w:val="10"/>
  </w:num>
  <w:num w:numId="22">
    <w:abstractNumId w:val="1"/>
  </w:num>
  <w:num w:numId="23">
    <w:abstractNumId w:val="1"/>
  </w:num>
  <w:num w:numId="24">
    <w:abstractNumId w:val="1"/>
  </w:num>
  <w:num w:numId="25">
    <w:abstractNumId w:val="7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DB"/>
    <w:rsid w:val="00042424"/>
    <w:rsid w:val="000455C2"/>
    <w:rsid w:val="000B4ABA"/>
    <w:rsid w:val="00150A36"/>
    <w:rsid w:val="00166ABD"/>
    <w:rsid w:val="001E419D"/>
    <w:rsid w:val="001E6718"/>
    <w:rsid w:val="00295B7E"/>
    <w:rsid w:val="002E31D7"/>
    <w:rsid w:val="00344827"/>
    <w:rsid w:val="0034491C"/>
    <w:rsid w:val="003A1097"/>
    <w:rsid w:val="0041620C"/>
    <w:rsid w:val="00443CBB"/>
    <w:rsid w:val="00495915"/>
    <w:rsid w:val="004C6548"/>
    <w:rsid w:val="00567E58"/>
    <w:rsid w:val="00576DC1"/>
    <w:rsid w:val="005E44D7"/>
    <w:rsid w:val="006C3CC6"/>
    <w:rsid w:val="00703A33"/>
    <w:rsid w:val="00782426"/>
    <w:rsid w:val="00784F95"/>
    <w:rsid w:val="00824CFE"/>
    <w:rsid w:val="0086226B"/>
    <w:rsid w:val="008C370F"/>
    <w:rsid w:val="008F457C"/>
    <w:rsid w:val="00922126"/>
    <w:rsid w:val="009442FA"/>
    <w:rsid w:val="009B395B"/>
    <w:rsid w:val="009C2433"/>
    <w:rsid w:val="009F7CA2"/>
    <w:rsid w:val="00A5722E"/>
    <w:rsid w:val="00AC2DC3"/>
    <w:rsid w:val="00BB45DB"/>
    <w:rsid w:val="00C026C9"/>
    <w:rsid w:val="00CB2620"/>
    <w:rsid w:val="00CD4041"/>
    <w:rsid w:val="00D34E6C"/>
    <w:rsid w:val="00D4397D"/>
    <w:rsid w:val="00D60297"/>
    <w:rsid w:val="00DC6A65"/>
    <w:rsid w:val="00F20034"/>
    <w:rsid w:val="00FB64B9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5CF1A"/>
  <w15:chartTrackingRefBased/>
  <w15:docId w15:val="{6F9BADFE-8F03-4CE3-BD30-84C41568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97"/>
  </w:style>
  <w:style w:type="paragraph" w:styleId="Ttulo1">
    <w:name w:val="heading 1"/>
    <w:basedOn w:val="Normal"/>
    <w:next w:val="Normal"/>
    <w:link w:val="Ttulo1Car"/>
    <w:uiPriority w:val="9"/>
    <w:qFormat/>
    <w:rsid w:val="00D60297"/>
    <w:pPr>
      <w:numPr>
        <w:numId w:val="2"/>
      </w:num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0297"/>
    <w:pPr>
      <w:numPr>
        <w:ilvl w:val="1"/>
        <w:numId w:val="2"/>
      </w:num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297"/>
    <w:pPr>
      <w:numPr>
        <w:ilvl w:val="2"/>
        <w:numId w:val="2"/>
      </w:num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297"/>
    <w:pPr>
      <w:numPr>
        <w:ilvl w:val="3"/>
        <w:numId w:val="2"/>
      </w:num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297"/>
    <w:pPr>
      <w:numPr>
        <w:ilvl w:val="4"/>
        <w:numId w:val="2"/>
      </w:num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297"/>
    <w:pPr>
      <w:numPr>
        <w:ilvl w:val="5"/>
        <w:numId w:val="2"/>
      </w:num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297"/>
    <w:pPr>
      <w:numPr>
        <w:ilvl w:val="6"/>
        <w:numId w:val="2"/>
      </w:num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297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297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5DB"/>
  </w:style>
  <w:style w:type="paragraph" w:styleId="Piedepgina">
    <w:name w:val="footer"/>
    <w:basedOn w:val="Normal"/>
    <w:link w:val="Piedepgina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5DB"/>
  </w:style>
  <w:style w:type="table" w:styleId="Tablaconcuadrcula">
    <w:name w:val="Table Grid"/>
    <w:basedOn w:val="Tablanormal"/>
    <w:uiPriority w:val="39"/>
    <w:rsid w:val="00BB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31D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xtoennegrita">
    <w:name w:val="Strong"/>
    <w:uiPriority w:val="22"/>
    <w:qFormat/>
    <w:rsid w:val="00D6029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60297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paragraph" w:styleId="TtuloTDC">
    <w:name w:val="TOC Heading"/>
    <w:basedOn w:val="Ttulo1"/>
    <w:next w:val="Normal"/>
    <w:uiPriority w:val="39"/>
    <w:unhideWhenUsed/>
    <w:qFormat/>
    <w:rsid w:val="00D60297"/>
    <w:pPr>
      <w:outlineLvl w:val="9"/>
    </w:pPr>
  </w:style>
  <w:style w:type="paragraph" w:styleId="Prrafodelista">
    <w:name w:val="List Paragraph"/>
    <w:basedOn w:val="Normal"/>
    <w:uiPriority w:val="34"/>
    <w:qFormat/>
    <w:rsid w:val="002E31D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60297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60297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60297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297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297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297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297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297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29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29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60297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2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60297"/>
    <w:rPr>
      <w:caps/>
      <w:color w:val="595959" w:themeColor="text1" w:themeTint="A6"/>
      <w:spacing w:val="10"/>
      <w:sz w:val="21"/>
      <w:szCs w:val="21"/>
    </w:rPr>
  </w:style>
  <w:style w:type="character" w:styleId="nfasis">
    <w:name w:val="Emphasis"/>
    <w:uiPriority w:val="20"/>
    <w:qFormat/>
    <w:rsid w:val="00D60297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D602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6029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6029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297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297"/>
    <w:rPr>
      <w:color w:val="F0A22E" w:themeColor="accent1"/>
      <w:sz w:val="24"/>
      <w:szCs w:val="24"/>
    </w:rPr>
  </w:style>
  <w:style w:type="character" w:styleId="nfasissutil">
    <w:name w:val="Subtle Emphasis"/>
    <w:uiPriority w:val="19"/>
    <w:qFormat/>
    <w:rsid w:val="00D60297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D60297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D60297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D60297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D60297"/>
    <w:rPr>
      <w:b/>
      <w:bCs/>
      <w:i/>
      <w:iC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D60297"/>
    <w:pPr>
      <w:tabs>
        <w:tab w:val="left" w:pos="440"/>
        <w:tab w:val="right" w:leader="dot" w:pos="10456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95915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60297"/>
    <w:pPr>
      <w:spacing w:after="100"/>
      <w:ind w:left="200"/>
    </w:pPr>
  </w:style>
  <w:style w:type="character" w:styleId="Hipervnculovisitado">
    <w:name w:val="FollowedHyperlink"/>
    <w:basedOn w:val="Fuentedeprrafopredeter"/>
    <w:uiPriority w:val="99"/>
    <w:semiHidden/>
    <w:unhideWhenUsed/>
    <w:rsid w:val="00D60297"/>
    <w:rPr>
      <w:color w:val="FFC42F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22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26B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824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82426"/>
    <w:pPr>
      <w:spacing w:line="240" w:lineRule="auto"/>
    </w:pPr>
    <w:rPr>
      <w:rFonts w:ascii="Calibri" w:eastAsia="Calibri" w:hAnsi="Calibri" w:cs="Calibri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82426"/>
    <w:rPr>
      <w:rFonts w:ascii="Calibri" w:eastAsia="Calibri" w:hAnsi="Calibri" w:cs="Calibri"/>
      <w:lang w:eastAsia="es-ES"/>
    </w:rPr>
  </w:style>
  <w:style w:type="paragraph" w:styleId="Revisin">
    <w:name w:val="Revision"/>
    <w:hidden/>
    <w:uiPriority w:val="99"/>
    <w:semiHidden/>
    <w:rsid w:val="00FB64B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7699-7752-4F60-824E-A358449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Juankar .</dc:creator>
  <cp:keywords/>
  <dc:description/>
  <cp:lastModifiedBy>Juankar .</cp:lastModifiedBy>
  <cp:revision>21</cp:revision>
  <cp:lastPrinted>2024-03-26T18:22:00Z</cp:lastPrinted>
  <dcterms:created xsi:type="dcterms:W3CDTF">2024-03-25T15:33:00Z</dcterms:created>
  <dcterms:modified xsi:type="dcterms:W3CDTF">2024-05-13T08:04:00Z</dcterms:modified>
</cp:coreProperties>
</file>