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5B9BD5" w:themeColor="accent1"/>
          <w:sz w:val="72"/>
          <w:szCs w:val="72"/>
        </w:rPr>
        <w:alias w:val="Título"/>
        <w:tag w:val=""/>
        <w:id w:val="1248234664"/>
        <w:dataBinding w:prefixMappings="xmlns:ns0='http://purl.org/dc/elements/1.1/' xmlns:ns1='http://schemas.openxmlformats.org/package/2006/metadata/core-properties' " w:xpath="/ns1:coreProperties[1]/ns0:title[1]" w:storeItemID="{6C3C8BC8-F283-45AE-878A-BAB7291924A1}"/>
        <w:text/>
      </w:sdtPr>
      <w:sdtEndPr/>
      <w:sdtContent>
        <w:p w14:paraId="30FDFCAC" w14:textId="6F8B219A" w:rsidR="00181FB1" w:rsidRDefault="00FB50EE" w:rsidP="00181FB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w:t>
          </w:r>
          <w:r w:rsidR="00181FB1">
            <w:rPr>
              <w:rFonts w:asciiTheme="majorHAnsi" w:eastAsiaTheme="majorEastAsia" w:hAnsiTheme="majorHAnsi" w:cstheme="majorBidi"/>
              <w:caps/>
              <w:color w:val="5B9BD5" w:themeColor="accent1"/>
              <w:sz w:val="72"/>
              <w:szCs w:val="72"/>
            </w:rPr>
            <w:t xml:space="preserve"> Comité </w:t>
          </w:r>
          <w:r w:rsidR="00181FB1" w:rsidRPr="00181FB1">
            <w:rPr>
              <w:rFonts w:asciiTheme="majorHAnsi" w:eastAsiaTheme="majorEastAsia" w:hAnsiTheme="majorHAnsi" w:cstheme="majorBidi"/>
              <w:caps/>
              <w:color w:val="5B9BD5" w:themeColor="accent1"/>
              <w:sz w:val="72"/>
              <w:szCs w:val="72"/>
            </w:rPr>
            <w:t>Nacional</w:t>
          </w:r>
          <w:r w:rsidR="00181FB1">
            <w:rPr>
              <w:rFonts w:asciiTheme="majorHAnsi" w:eastAsiaTheme="majorEastAsia" w:hAnsiTheme="majorHAnsi" w:cstheme="majorBidi"/>
              <w:caps/>
              <w:color w:val="5B9BD5" w:themeColor="accent1"/>
              <w:sz w:val="72"/>
              <w:szCs w:val="72"/>
            </w:rPr>
            <w:t xml:space="preserve"> á</w:t>
          </w:r>
          <w:r w:rsidR="00181FB1" w:rsidRPr="00181FB1">
            <w:rPr>
              <w:rFonts w:asciiTheme="majorHAnsi" w:eastAsiaTheme="majorEastAsia" w:hAnsiTheme="majorHAnsi" w:cstheme="majorBidi"/>
              <w:caps/>
              <w:color w:val="5B9BD5" w:themeColor="accent1"/>
              <w:sz w:val="72"/>
              <w:szCs w:val="72"/>
            </w:rPr>
            <w:t>rbitros</w:t>
          </w:r>
          <w:r w:rsidR="003D609D">
            <w:rPr>
              <w:rFonts w:asciiTheme="majorHAnsi" w:eastAsiaTheme="majorEastAsia" w:hAnsiTheme="majorHAnsi" w:cstheme="majorBidi"/>
              <w:caps/>
              <w:color w:val="5B9BD5" w:themeColor="accent1"/>
              <w:sz w:val="72"/>
              <w:szCs w:val="72"/>
            </w:rPr>
            <w:t>’23</w:t>
          </w:r>
        </w:p>
      </w:sdtContent>
    </w:sdt>
    <w:p w14:paraId="1AD31865" w14:textId="295BA4DA" w:rsidR="00181FB1" w:rsidRDefault="00181FB1"/>
    <w:tbl>
      <w:tblPr>
        <w:tblStyle w:val="Tablaconcuadrcula"/>
        <w:tblW w:w="0" w:type="auto"/>
        <w:tblLook w:val="04A0" w:firstRow="1" w:lastRow="0" w:firstColumn="1" w:lastColumn="0" w:noHBand="0" w:noVBand="1"/>
      </w:tblPr>
      <w:tblGrid>
        <w:gridCol w:w="1384"/>
        <w:gridCol w:w="8502"/>
      </w:tblGrid>
      <w:tr w:rsidR="00BD3081" w14:paraId="4452A0CE" w14:textId="77777777" w:rsidTr="00A2146D">
        <w:tc>
          <w:tcPr>
            <w:tcW w:w="9886" w:type="dxa"/>
            <w:gridSpan w:val="2"/>
          </w:tcPr>
          <w:p w14:paraId="0920A47A" w14:textId="2FEF1819" w:rsidR="00BD3081" w:rsidRDefault="00BD3081" w:rsidP="00BD3081">
            <w:pPr>
              <w:jc w:val="center"/>
            </w:pPr>
            <w:r>
              <w:t>CONTROL DE VERSIONES</w:t>
            </w:r>
          </w:p>
        </w:tc>
      </w:tr>
      <w:tr w:rsidR="00BD3081" w14:paraId="2DF0889D" w14:textId="77777777" w:rsidTr="00A2146D">
        <w:tc>
          <w:tcPr>
            <w:tcW w:w="1384" w:type="dxa"/>
          </w:tcPr>
          <w:p w14:paraId="30EFD96D" w14:textId="35C0207A" w:rsidR="00BD3081" w:rsidRDefault="00BD3081">
            <w:r>
              <w:t>FECHA</w:t>
            </w:r>
          </w:p>
        </w:tc>
        <w:tc>
          <w:tcPr>
            <w:tcW w:w="8502" w:type="dxa"/>
          </w:tcPr>
          <w:p w14:paraId="7C74F539" w14:textId="0B9C556F" w:rsidR="00BD3081" w:rsidRDefault="00BD3081">
            <w:r>
              <w:t>CAMBIO</w:t>
            </w:r>
          </w:p>
        </w:tc>
      </w:tr>
      <w:tr w:rsidR="00BD3081" w14:paraId="4361A045" w14:textId="77777777" w:rsidTr="00A2146D">
        <w:tc>
          <w:tcPr>
            <w:tcW w:w="1384" w:type="dxa"/>
          </w:tcPr>
          <w:p w14:paraId="7FB5C114" w14:textId="13544A9E" w:rsidR="00BD3081" w:rsidRDefault="00BD3081" w:rsidP="00BD3081">
            <w:r>
              <w:t>12/2/23</w:t>
            </w:r>
          </w:p>
        </w:tc>
        <w:tc>
          <w:tcPr>
            <w:tcW w:w="8502" w:type="dxa"/>
          </w:tcPr>
          <w:p w14:paraId="7ABD187E" w14:textId="18076F8F" w:rsidR="00BD3081" w:rsidRDefault="00BD3081">
            <w:r>
              <w:t>Versión inicial</w:t>
            </w:r>
          </w:p>
        </w:tc>
      </w:tr>
      <w:tr w:rsidR="00BD3081" w14:paraId="11DC5E6F" w14:textId="77777777" w:rsidTr="00A2146D">
        <w:tc>
          <w:tcPr>
            <w:tcW w:w="1384" w:type="dxa"/>
          </w:tcPr>
          <w:p w14:paraId="3D129D81" w14:textId="6F2D1942" w:rsidR="00BD3081" w:rsidRDefault="00BD3081" w:rsidP="00BD3081">
            <w:r>
              <w:t>3/3/23</w:t>
            </w:r>
          </w:p>
        </w:tc>
        <w:tc>
          <w:tcPr>
            <w:tcW w:w="8502" w:type="dxa"/>
          </w:tcPr>
          <w:p w14:paraId="0E313C20" w14:textId="1D61C9ED" w:rsidR="00BD3081" w:rsidRDefault="00BD3081">
            <w:r>
              <w:t>Se incluye la certificación de las prácticas de los curso</w:t>
            </w:r>
          </w:p>
        </w:tc>
      </w:tr>
      <w:tr w:rsidR="00473110" w14:paraId="4CE19497" w14:textId="77777777" w:rsidTr="00A2146D">
        <w:tc>
          <w:tcPr>
            <w:tcW w:w="1384" w:type="dxa"/>
          </w:tcPr>
          <w:p w14:paraId="79064BD6" w14:textId="502584E8" w:rsidR="00473110" w:rsidRDefault="00473110" w:rsidP="00BD3081">
            <w:r>
              <w:t>7/3/23</w:t>
            </w:r>
          </w:p>
        </w:tc>
        <w:tc>
          <w:tcPr>
            <w:tcW w:w="8502" w:type="dxa"/>
          </w:tcPr>
          <w:p w14:paraId="01985AD7" w14:textId="376C9156" w:rsidR="00473110" w:rsidRDefault="00473110">
            <w:r>
              <w:t>Delegados Arbitrales</w:t>
            </w:r>
            <w:r w:rsidR="008E0D8D">
              <w:t>; Competiciones; Derechos Arbitrales; Dietas y desplazamientos</w:t>
            </w:r>
          </w:p>
        </w:tc>
      </w:tr>
      <w:tr w:rsidR="004E352D" w14:paraId="7CD96A83" w14:textId="77777777" w:rsidTr="00A2146D">
        <w:tc>
          <w:tcPr>
            <w:tcW w:w="1384" w:type="dxa"/>
          </w:tcPr>
          <w:p w14:paraId="0B398CC5" w14:textId="3BD81C9A" w:rsidR="004E352D" w:rsidRDefault="004E352D" w:rsidP="00BD3081">
            <w:r>
              <w:t>17/3/23</w:t>
            </w:r>
          </w:p>
        </w:tc>
        <w:tc>
          <w:tcPr>
            <w:tcW w:w="8502" w:type="dxa"/>
          </w:tcPr>
          <w:p w14:paraId="39DA0AB4" w14:textId="00BC628D" w:rsidR="00FA3DD4" w:rsidRDefault="004E352D">
            <w:r>
              <w:t>Sólo para organizadores</w:t>
            </w:r>
          </w:p>
        </w:tc>
      </w:tr>
      <w:tr w:rsidR="00FA3DD4" w14:paraId="6E5372C3" w14:textId="77777777" w:rsidTr="00A2146D">
        <w:tc>
          <w:tcPr>
            <w:tcW w:w="1384" w:type="dxa"/>
          </w:tcPr>
          <w:p w14:paraId="054A3906" w14:textId="1E2C8FF8" w:rsidR="00FA3DD4" w:rsidRDefault="00FA3DD4" w:rsidP="00BD3081">
            <w:r>
              <w:t>20/4/23</w:t>
            </w:r>
          </w:p>
        </w:tc>
        <w:tc>
          <w:tcPr>
            <w:tcW w:w="8502" w:type="dxa"/>
          </w:tcPr>
          <w:p w14:paraId="0B7A4FC8" w14:textId="2E9BD9D3" w:rsidR="00FA3DD4" w:rsidRDefault="00FA3DD4">
            <w:r>
              <w:t>Definición partido sancionado y licencias arbitrales</w:t>
            </w:r>
          </w:p>
        </w:tc>
      </w:tr>
      <w:tr w:rsidR="00BB116D" w14:paraId="1D0FA72A" w14:textId="77777777" w:rsidTr="00A2146D">
        <w:tc>
          <w:tcPr>
            <w:tcW w:w="1384" w:type="dxa"/>
          </w:tcPr>
          <w:p w14:paraId="7A7805BE" w14:textId="7C8CC920" w:rsidR="00BB116D" w:rsidRDefault="00BB116D" w:rsidP="00BD3081">
            <w:r>
              <w:t>08/05/23</w:t>
            </w:r>
          </w:p>
        </w:tc>
        <w:tc>
          <w:tcPr>
            <w:tcW w:w="8502" w:type="dxa"/>
          </w:tcPr>
          <w:p w14:paraId="6981365E" w14:textId="4618EDBF" w:rsidR="00BB116D" w:rsidRDefault="00BB116D">
            <w:r>
              <w:t>Incompatibilidades de árbitros un torneos</w:t>
            </w:r>
          </w:p>
        </w:tc>
      </w:tr>
      <w:tr w:rsidR="00A2146D" w14:paraId="6B630974" w14:textId="77777777" w:rsidTr="00A2146D">
        <w:tc>
          <w:tcPr>
            <w:tcW w:w="1384" w:type="dxa"/>
          </w:tcPr>
          <w:p w14:paraId="34F11E75" w14:textId="77777777" w:rsidR="00A2146D" w:rsidRDefault="00A2146D" w:rsidP="005D223C">
            <w:r>
              <w:t>16/7/23</w:t>
            </w:r>
          </w:p>
        </w:tc>
        <w:tc>
          <w:tcPr>
            <w:tcW w:w="8502" w:type="dxa"/>
          </w:tcPr>
          <w:p w14:paraId="212A35EA" w14:textId="77777777" w:rsidR="00A2146D" w:rsidRDefault="00A2146D" w:rsidP="005D223C">
            <w:r>
              <w:t>1/2 dieta, ½ alojamiento, ½ kilometraje, Derechos arbitrajes completos para árbitros que, además, participen como jugadores en el torneo</w:t>
            </w:r>
          </w:p>
        </w:tc>
      </w:tr>
      <w:tr w:rsidR="00A2146D" w14:paraId="4F68B1A4" w14:textId="77777777" w:rsidTr="00A2146D">
        <w:tc>
          <w:tcPr>
            <w:tcW w:w="1384" w:type="dxa"/>
          </w:tcPr>
          <w:p w14:paraId="516E90DD" w14:textId="77777777" w:rsidR="00A2146D" w:rsidRDefault="00A2146D" w:rsidP="005D223C">
            <w:r>
              <w:t>16/7/23</w:t>
            </w:r>
          </w:p>
        </w:tc>
        <w:tc>
          <w:tcPr>
            <w:tcW w:w="8502" w:type="dxa"/>
          </w:tcPr>
          <w:p w14:paraId="19B85384" w14:textId="77777777" w:rsidR="00A2146D" w:rsidRDefault="00A2146D" w:rsidP="005D223C">
            <w:r>
              <w:t>El comité participa con los delegados arbitrales en las reuniones con los organizadores de los torneos</w:t>
            </w:r>
          </w:p>
        </w:tc>
      </w:tr>
      <w:tr w:rsidR="00A2146D" w14:paraId="484BF0E9" w14:textId="77777777" w:rsidTr="00A2146D">
        <w:tc>
          <w:tcPr>
            <w:tcW w:w="1384" w:type="dxa"/>
          </w:tcPr>
          <w:p w14:paraId="7E73AD60" w14:textId="77777777" w:rsidR="00A2146D" w:rsidRDefault="00A2146D" w:rsidP="005D223C">
            <w:r>
              <w:t>17/7/23</w:t>
            </w:r>
          </w:p>
        </w:tc>
        <w:tc>
          <w:tcPr>
            <w:tcW w:w="8502" w:type="dxa"/>
          </w:tcPr>
          <w:p w14:paraId="36CF430C" w14:textId="77777777" w:rsidR="00A2146D" w:rsidRDefault="00A2146D" w:rsidP="005D223C">
            <w:r>
              <w:t>Límites de los exámenes de test del curso</w:t>
            </w:r>
          </w:p>
        </w:tc>
      </w:tr>
      <w:tr w:rsidR="00A2146D" w14:paraId="021391D3" w14:textId="77777777" w:rsidTr="00A2146D">
        <w:tc>
          <w:tcPr>
            <w:tcW w:w="1384" w:type="dxa"/>
          </w:tcPr>
          <w:p w14:paraId="2465F469" w14:textId="77777777" w:rsidR="00A2146D" w:rsidRDefault="00A2146D" w:rsidP="005D223C">
            <w:r>
              <w:t>11/9/23</w:t>
            </w:r>
          </w:p>
        </w:tc>
        <w:tc>
          <w:tcPr>
            <w:tcW w:w="8502" w:type="dxa"/>
          </w:tcPr>
          <w:p w14:paraId="765E2AD8" w14:textId="77777777" w:rsidR="00A2146D" w:rsidRDefault="00A2146D" w:rsidP="00A2146D">
            <w:pPr>
              <w:pStyle w:val="Prrafodelista"/>
              <w:numPr>
                <w:ilvl w:val="0"/>
                <w:numId w:val="31"/>
              </w:numPr>
            </w:pPr>
            <w:r>
              <w:t>Cambios en el comité</w:t>
            </w:r>
          </w:p>
          <w:p w14:paraId="159EA458" w14:textId="77777777" w:rsidR="00A2146D" w:rsidRDefault="00A2146D" w:rsidP="00A2146D">
            <w:pPr>
              <w:pStyle w:val="Prrafodelista"/>
              <w:numPr>
                <w:ilvl w:val="0"/>
                <w:numId w:val="31"/>
              </w:numPr>
            </w:pPr>
            <w:r>
              <w:t>Ajuste Derechos arbitrajes</w:t>
            </w:r>
          </w:p>
        </w:tc>
      </w:tr>
    </w:tbl>
    <w:p w14:paraId="3135074B" w14:textId="77777777" w:rsidR="00BD3081" w:rsidRDefault="00BD3081"/>
    <w:p w14:paraId="52807D90" w14:textId="6F9DAA87" w:rsidR="00FD545B" w:rsidRDefault="00181FB1">
      <w:r>
        <w:t>Agradeciendo la confianza que tanto la</w:t>
      </w:r>
      <w:r w:rsidRPr="00181FB1">
        <w:t xml:space="preserve"> </w:t>
      </w:r>
      <w:r>
        <w:t xml:space="preserve">Asociación Española de Pickleball (AEPb) como los árbitros que acudieron a la convocatoria de la </w:t>
      </w:r>
      <w:r w:rsidR="00720171">
        <w:t xml:space="preserve">AEPb </w:t>
      </w:r>
      <w:r>
        <w:t>para la formación del comité de arbitraje de la AEPb</w:t>
      </w:r>
      <w:r w:rsidR="00720171">
        <w:t>, celebrada por videoconferencia el día 9 de Febrero de 2023 a las 21:00</w:t>
      </w:r>
      <w:r>
        <w:t xml:space="preserve">, </w:t>
      </w:r>
      <w:r w:rsidR="00720171">
        <w:t xml:space="preserve">depositaron en el equipo que representa nuestra candidatura, </w:t>
      </w:r>
      <w:r>
        <w:t>y de acuerdo con las decisiones que allí se tomaron, pasamos a presentar el programa del Comité Nacional de Árbitros de Pickleball (CNAPb)</w:t>
      </w:r>
      <w:r w:rsidR="00720171">
        <w:t>, para dar la cobertura necesaria a las necesidades que se presentaron y que dan motivo a la creación del citado Comité</w:t>
      </w:r>
      <w:r w:rsidR="00925E91">
        <w:t>.</w:t>
      </w:r>
    </w:p>
    <w:p w14:paraId="1B90B9E0" w14:textId="77777777" w:rsidR="008D6103" w:rsidRDefault="008D6103">
      <w:pPr>
        <w:rPr>
          <w:rFonts w:asciiTheme="majorHAnsi" w:eastAsiaTheme="majorEastAsia" w:hAnsiTheme="majorHAnsi" w:cstheme="majorBidi"/>
          <w:color w:val="2E74B5" w:themeColor="accent1" w:themeShade="BF"/>
          <w:sz w:val="32"/>
          <w:szCs w:val="32"/>
        </w:rPr>
      </w:pPr>
      <w:r>
        <w:br w:type="page"/>
      </w:r>
    </w:p>
    <w:sdt>
      <w:sdtPr>
        <w:id w:val="16278919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9093DF" w14:textId="5828CE6D" w:rsidR="008D6103" w:rsidRDefault="008D6103">
          <w:pPr>
            <w:pStyle w:val="TtulodeTDC"/>
          </w:pPr>
          <w:r>
            <w:t>Contenido</w:t>
          </w:r>
        </w:p>
        <w:p w14:paraId="7CB59AA2" w14:textId="77777777" w:rsidR="008D6103" w:rsidRDefault="008D6103">
          <w:pPr>
            <w:pStyle w:val="TDC1"/>
            <w:tabs>
              <w:tab w:val="left" w:pos="440"/>
              <w:tab w:val="right" w:leader="dot" w:pos="9736"/>
            </w:tabs>
            <w:rPr>
              <w:rFonts w:eastAsiaTheme="minorEastAsia"/>
              <w:noProof/>
              <w:lang w:eastAsia="es-ES"/>
            </w:rPr>
          </w:pPr>
          <w:r>
            <w:fldChar w:fldCharType="begin"/>
          </w:r>
          <w:r>
            <w:instrText xml:space="preserve"> TOC \o "1-3" \h \z \u </w:instrText>
          </w:r>
          <w:r>
            <w:fldChar w:fldCharType="separate"/>
          </w:r>
          <w:hyperlink w:anchor="_Toc145349436" w:history="1">
            <w:r w:rsidRPr="00070ED4">
              <w:rPr>
                <w:rStyle w:val="Hipervnculo"/>
                <w:noProof/>
              </w:rPr>
              <w:t>II.</w:t>
            </w:r>
            <w:r>
              <w:rPr>
                <w:rFonts w:eastAsiaTheme="minorEastAsia"/>
                <w:noProof/>
                <w:lang w:eastAsia="es-ES"/>
              </w:rPr>
              <w:tab/>
            </w:r>
            <w:r w:rsidRPr="00070ED4">
              <w:rPr>
                <w:rStyle w:val="Hipervnculo"/>
                <w:noProof/>
              </w:rPr>
              <w:t>Organigrama</w:t>
            </w:r>
            <w:r>
              <w:rPr>
                <w:noProof/>
                <w:webHidden/>
              </w:rPr>
              <w:tab/>
            </w:r>
            <w:r>
              <w:rPr>
                <w:noProof/>
                <w:webHidden/>
              </w:rPr>
              <w:fldChar w:fldCharType="begin"/>
            </w:r>
            <w:r>
              <w:rPr>
                <w:noProof/>
                <w:webHidden/>
              </w:rPr>
              <w:instrText xml:space="preserve"> PAGEREF _Toc145349436 \h </w:instrText>
            </w:r>
            <w:r>
              <w:rPr>
                <w:noProof/>
                <w:webHidden/>
              </w:rPr>
            </w:r>
            <w:r>
              <w:rPr>
                <w:noProof/>
                <w:webHidden/>
              </w:rPr>
              <w:fldChar w:fldCharType="separate"/>
            </w:r>
            <w:r w:rsidR="00394CD8">
              <w:rPr>
                <w:noProof/>
                <w:webHidden/>
              </w:rPr>
              <w:t>2</w:t>
            </w:r>
            <w:r>
              <w:rPr>
                <w:noProof/>
                <w:webHidden/>
              </w:rPr>
              <w:fldChar w:fldCharType="end"/>
            </w:r>
          </w:hyperlink>
        </w:p>
        <w:p w14:paraId="5DFA31C9" w14:textId="77777777" w:rsidR="008D6103" w:rsidRDefault="008D6103">
          <w:pPr>
            <w:pStyle w:val="TDC1"/>
            <w:tabs>
              <w:tab w:val="left" w:pos="660"/>
              <w:tab w:val="right" w:leader="dot" w:pos="9736"/>
            </w:tabs>
            <w:rPr>
              <w:rFonts w:eastAsiaTheme="minorEastAsia"/>
              <w:noProof/>
              <w:lang w:eastAsia="es-ES"/>
            </w:rPr>
          </w:pPr>
          <w:hyperlink w:anchor="_Toc145349437" w:history="1">
            <w:r w:rsidRPr="00070ED4">
              <w:rPr>
                <w:rStyle w:val="Hipervnculo"/>
                <w:noProof/>
              </w:rPr>
              <w:t>III.</w:t>
            </w:r>
            <w:r>
              <w:rPr>
                <w:rFonts w:eastAsiaTheme="minorEastAsia"/>
                <w:noProof/>
                <w:lang w:eastAsia="es-ES"/>
              </w:rPr>
              <w:tab/>
            </w:r>
            <w:r w:rsidRPr="00070ED4">
              <w:rPr>
                <w:rStyle w:val="Hipervnculo"/>
                <w:noProof/>
              </w:rPr>
              <w:t>Comunicaciones</w:t>
            </w:r>
            <w:r>
              <w:rPr>
                <w:noProof/>
                <w:webHidden/>
              </w:rPr>
              <w:tab/>
            </w:r>
            <w:r>
              <w:rPr>
                <w:noProof/>
                <w:webHidden/>
              </w:rPr>
              <w:fldChar w:fldCharType="begin"/>
            </w:r>
            <w:r>
              <w:rPr>
                <w:noProof/>
                <w:webHidden/>
              </w:rPr>
              <w:instrText xml:space="preserve"> PAGEREF _Toc145349437 \h </w:instrText>
            </w:r>
            <w:r>
              <w:rPr>
                <w:noProof/>
                <w:webHidden/>
              </w:rPr>
            </w:r>
            <w:r>
              <w:rPr>
                <w:noProof/>
                <w:webHidden/>
              </w:rPr>
              <w:fldChar w:fldCharType="separate"/>
            </w:r>
            <w:r w:rsidR="00394CD8">
              <w:rPr>
                <w:noProof/>
                <w:webHidden/>
              </w:rPr>
              <w:t>2</w:t>
            </w:r>
            <w:r>
              <w:rPr>
                <w:noProof/>
                <w:webHidden/>
              </w:rPr>
              <w:fldChar w:fldCharType="end"/>
            </w:r>
          </w:hyperlink>
        </w:p>
        <w:p w14:paraId="6254CC73" w14:textId="77777777" w:rsidR="008D6103" w:rsidRDefault="008D6103">
          <w:pPr>
            <w:pStyle w:val="TDC1"/>
            <w:tabs>
              <w:tab w:val="left" w:pos="660"/>
              <w:tab w:val="right" w:leader="dot" w:pos="9736"/>
            </w:tabs>
            <w:rPr>
              <w:rFonts w:eastAsiaTheme="minorEastAsia"/>
              <w:noProof/>
              <w:lang w:eastAsia="es-ES"/>
            </w:rPr>
          </w:pPr>
          <w:hyperlink w:anchor="_Toc145349438" w:history="1">
            <w:r w:rsidRPr="00070ED4">
              <w:rPr>
                <w:rStyle w:val="Hipervnculo"/>
                <w:noProof/>
              </w:rPr>
              <w:t>IV.</w:t>
            </w:r>
            <w:r>
              <w:rPr>
                <w:rFonts w:eastAsiaTheme="minorEastAsia"/>
                <w:noProof/>
                <w:lang w:eastAsia="es-ES"/>
              </w:rPr>
              <w:tab/>
            </w:r>
            <w:r w:rsidRPr="00070ED4">
              <w:rPr>
                <w:rStyle w:val="Hipervnculo"/>
                <w:noProof/>
              </w:rPr>
              <w:t>Competiciones</w:t>
            </w:r>
            <w:r>
              <w:rPr>
                <w:noProof/>
                <w:webHidden/>
              </w:rPr>
              <w:tab/>
            </w:r>
            <w:r>
              <w:rPr>
                <w:noProof/>
                <w:webHidden/>
              </w:rPr>
              <w:fldChar w:fldCharType="begin"/>
            </w:r>
            <w:r>
              <w:rPr>
                <w:noProof/>
                <w:webHidden/>
              </w:rPr>
              <w:instrText xml:space="preserve"> PAGEREF _Toc145349438 \h </w:instrText>
            </w:r>
            <w:r>
              <w:rPr>
                <w:noProof/>
                <w:webHidden/>
              </w:rPr>
            </w:r>
            <w:r>
              <w:rPr>
                <w:noProof/>
                <w:webHidden/>
              </w:rPr>
              <w:fldChar w:fldCharType="separate"/>
            </w:r>
            <w:r w:rsidR="00394CD8">
              <w:rPr>
                <w:noProof/>
                <w:webHidden/>
              </w:rPr>
              <w:t>2</w:t>
            </w:r>
            <w:r>
              <w:rPr>
                <w:noProof/>
                <w:webHidden/>
              </w:rPr>
              <w:fldChar w:fldCharType="end"/>
            </w:r>
          </w:hyperlink>
        </w:p>
        <w:p w14:paraId="6A344F36" w14:textId="77777777" w:rsidR="008D6103" w:rsidRDefault="008D6103">
          <w:pPr>
            <w:pStyle w:val="TDC2"/>
            <w:tabs>
              <w:tab w:val="left" w:pos="660"/>
              <w:tab w:val="right" w:leader="dot" w:pos="9736"/>
            </w:tabs>
            <w:rPr>
              <w:rFonts w:eastAsiaTheme="minorEastAsia"/>
              <w:noProof/>
              <w:lang w:eastAsia="es-ES"/>
            </w:rPr>
          </w:pPr>
          <w:hyperlink w:anchor="_Toc145349439" w:history="1">
            <w:r w:rsidRPr="00070ED4">
              <w:rPr>
                <w:rStyle w:val="Hipervnculo"/>
                <w:noProof/>
              </w:rPr>
              <w:t>A.</w:t>
            </w:r>
            <w:r>
              <w:rPr>
                <w:rFonts w:eastAsiaTheme="minorEastAsia"/>
                <w:noProof/>
                <w:lang w:eastAsia="es-ES"/>
              </w:rPr>
              <w:tab/>
            </w:r>
            <w:r w:rsidRPr="00070ED4">
              <w:rPr>
                <w:rStyle w:val="Hipervnculo"/>
                <w:noProof/>
              </w:rPr>
              <w:t>Normas generales.</w:t>
            </w:r>
            <w:r>
              <w:rPr>
                <w:noProof/>
                <w:webHidden/>
              </w:rPr>
              <w:tab/>
            </w:r>
            <w:r>
              <w:rPr>
                <w:noProof/>
                <w:webHidden/>
              </w:rPr>
              <w:fldChar w:fldCharType="begin"/>
            </w:r>
            <w:r>
              <w:rPr>
                <w:noProof/>
                <w:webHidden/>
              </w:rPr>
              <w:instrText xml:space="preserve"> PAGEREF _Toc145349439 \h </w:instrText>
            </w:r>
            <w:r>
              <w:rPr>
                <w:noProof/>
                <w:webHidden/>
              </w:rPr>
            </w:r>
            <w:r>
              <w:rPr>
                <w:noProof/>
                <w:webHidden/>
              </w:rPr>
              <w:fldChar w:fldCharType="separate"/>
            </w:r>
            <w:r w:rsidR="00394CD8">
              <w:rPr>
                <w:noProof/>
                <w:webHidden/>
              </w:rPr>
              <w:t>2</w:t>
            </w:r>
            <w:r>
              <w:rPr>
                <w:noProof/>
                <w:webHidden/>
              </w:rPr>
              <w:fldChar w:fldCharType="end"/>
            </w:r>
          </w:hyperlink>
        </w:p>
        <w:p w14:paraId="73CFB8FC" w14:textId="77777777" w:rsidR="008D6103" w:rsidRDefault="008D6103">
          <w:pPr>
            <w:pStyle w:val="TDC2"/>
            <w:tabs>
              <w:tab w:val="left" w:pos="660"/>
              <w:tab w:val="right" w:leader="dot" w:pos="9736"/>
            </w:tabs>
            <w:rPr>
              <w:rFonts w:eastAsiaTheme="minorEastAsia"/>
              <w:noProof/>
              <w:lang w:eastAsia="es-ES"/>
            </w:rPr>
          </w:pPr>
          <w:hyperlink w:anchor="_Toc145349440" w:history="1">
            <w:r w:rsidRPr="00070ED4">
              <w:rPr>
                <w:rStyle w:val="Hipervnculo"/>
                <w:noProof/>
              </w:rPr>
              <w:t>B.</w:t>
            </w:r>
            <w:r>
              <w:rPr>
                <w:rFonts w:eastAsiaTheme="minorEastAsia"/>
                <w:noProof/>
                <w:lang w:eastAsia="es-ES"/>
              </w:rPr>
              <w:tab/>
            </w:r>
            <w:r w:rsidRPr="00070ED4">
              <w:rPr>
                <w:rStyle w:val="Hipervnculo"/>
                <w:noProof/>
              </w:rPr>
              <w:t>Derechos de Arbitraje</w:t>
            </w:r>
            <w:r>
              <w:rPr>
                <w:noProof/>
                <w:webHidden/>
              </w:rPr>
              <w:tab/>
            </w:r>
            <w:r>
              <w:rPr>
                <w:noProof/>
                <w:webHidden/>
              </w:rPr>
              <w:fldChar w:fldCharType="begin"/>
            </w:r>
            <w:r>
              <w:rPr>
                <w:noProof/>
                <w:webHidden/>
              </w:rPr>
              <w:instrText xml:space="preserve"> PAGEREF _Toc145349440 \h </w:instrText>
            </w:r>
            <w:r>
              <w:rPr>
                <w:noProof/>
                <w:webHidden/>
              </w:rPr>
            </w:r>
            <w:r>
              <w:rPr>
                <w:noProof/>
                <w:webHidden/>
              </w:rPr>
              <w:fldChar w:fldCharType="separate"/>
            </w:r>
            <w:r w:rsidR="00394CD8">
              <w:rPr>
                <w:noProof/>
                <w:webHidden/>
              </w:rPr>
              <w:t>4</w:t>
            </w:r>
            <w:r>
              <w:rPr>
                <w:noProof/>
                <w:webHidden/>
              </w:rPr>
              <w:fldChar w:fldCharType="end"/>
            </w:r>
          </w:hyperlink>
        </w:p>
        <w:p w14:paraId="02F88ABF" w14:textId="77777777" w:rsidR="008D6103" w:rsidRDefault="008D6103">
          <w:pPr>
            <w:pStyle w:val="TDC2"/>
            <w:tabs>
              <w:tab w:val="left" w:pos="660"/>
              <w:tab w:val="right" w:leader="dot" w:pos="9736"/>
            </w:tabs>
            <w:rPr>
              <w:rFonts w:eastAsiaTheme="minorEastAsia"/>
              <w:noProof/>
              <w:lang w:eastAsia="es-ES"/>
            </w:rPr>
          </w:pPr>
          <w:hyperlink w:anchor="_Toc145349441" w:history="1">
            <w:r w:rsidRPr="00070ED4">
              <w:rPr>
                <w:rStyle w:val="Hipervnculo"/>
                <w:noProof/>
              </w:rPr>
              <w:t>C.</w:t>
            </w:r>
            <w:r>
              <w:rPr>
                <w:rFonts w:eastAsiaTheme="minorEastAsia"/>
                <w:noProof/>
                <w:lang w:eastAsia="es-ES"/>
              </w:rPr>
              <w:tab/>
            </w:r>
            <w:r w:rsidRPr="00070ED4">
              <w:rPr>
                <w:rStyle w:val="Hipervnculo"/>
                <w:noProof/>
              </w:rPr>
              <w:t>Desplazamientos</w:t>
            </w:r>
            <w:r>
              <w:rPr>
                <w:noProof/>
                <w:webHidden/>
              </w:rPr>
              <w:tab/>
            </w:r>
            <w:r>
              <w:rPr>
                <w:noProof/>
                <w:webHidden/>
              </w:rPr>
              <w:fldChar w:fldCharType="begin"/>
            </w:r>
            <w:r>
              <w:rPr>
                <w:noProof/>
                <w:webHidden/>
              </w:rPr>
              <w:instrText xml:space="preserve"> PAGEREF _Toc145349441 \h </w:instrText>
            </w:r>
            <w:r>
              <w:rPr>
                <w:noProof/>
                <w:webHidden/>
              </w:rPr>
            </w:r>
            <w:r>
              <w:rPr>
                <w:noProof/>
                <w:webHidden/>
              </w:rPr>
              <w:fldChar w:fldCharType="separate"/>
            </w:r>
            <w:r w:rsidR="00394CD8">
              <w:rPr>
                <w:noProof/>
                <w:webHidden/>
              </w:rPr>
              <w:t>4</w:t>
            </w:r>
            <w:r>
              <w:rPr>
                <w:noProof/>
                <w:webHidden/>
              </w:rPr>
              <w:fldChar w:fldCharType="end"/>
            </w:r>
          </w:hyperlink>
        </w:p>
        <w:p w14:paraId="13EF63C8" w14:textId="77777777" w:rsidR="008D6103" w:rsidRDefault="008D6103">
          <w:pPr>
            <w:pStyle w:val="TDC2"/>
            <w:tabs>
              <w:tab w:val="left" w:pos="660"/>
              <w:tab w:val="right" w:leader="dot" w:pos="9736"/>
            </w:tabs>
            <w:rPr>
              <w:rFonts w:eastAsiaTheme="minorEastAsia"/>
              <w:noProof/>
              <w:lang w:eastAsia="es-ES"/>
            </w:rPr>
          </w:pPr>
          <w:hyperlink w:anchor="_Toc145349442" w:history="1">
            <w:r w:rsidRPr="00070ED4">
              <w:rPr>
                <w:rStyle w:val="Hipervnculo"/>
                <w:noProof/>
              </w:rPr>
              <w:t>D.</w:t>
            </w:r>
            <w:r>
              <w:rPr>
                <w:rFonts w:eastAsiaTheme="minorEastAsia"/>
                <w:noProof/>
                <w:lang w:eastAsia="es-ES"/>
              </w:rPr>
              <w:tab/>
            </w:r>
            <w:r w:rsidRPr="00070ED4">
              <w:rPr>
                <w:rStyle w:val="Hipervnculo"/>
                <w:noProof/>
              </w:rPr>
              <w:t>Dietas</w:t>
            </w:r>
            <w:r>
              <w:rPr>
                <w:noProof/>
                <w:webHidden/>
              </w:rPr>
              <w:tab/>
            </w:r>
            <w:r>
              <w:rPr>
                <w:noProof/>
                <w:webHidden/>
              </w:rPr>
              <w:fldChar w:fldCharType="begin"/>
            </w:r>
            <w:r>
              <w:rPr>
                <w:noProof/>
                <w:webHidden/>
              </w:rPr>
              <w:instrText xml:space="preserve"> PAGEREF _Toc145349442 \h </w:instrText>
            </w:r>
            <w:r>
              <w:rPr>
                <w:noProof/>
                <w:webHidden/>
              </w:rPr>
            </w:r>
            <w:r>
              <w:rPr>
                <w:noProof/>
                <w:webHidden/>
              </w:rPr>
              <w:fldChar w:fldCharType="separate"/>
            </w:r>
            <w:r w:rsidR="00394CD8">
              <w:rPr>
                <w:noProof/>
                <w:webHidden/>
              </w:rPr>
              <w:t>4</w:t>
            </w:r>
            <w:r>
              <w:rPr>
                <w:noProof/>
                <w:webHidden/>
              </w:rPr>
              <w:fldChar w:fldCharType="end"/>
            </w:r>
          </w:hyperlink>
        </w:p>
        <w:p w14:paraId="61D3B172" w14:textId="77777777" w:rsidR="008D6103" w:rsidRDefault="008D6103">
          <w:pPr>
            <w:pStyle w:val="TDC2"/>
            <w:tabs>
              <w:tab w:val="left" w:pos="660"/>
              <w:tab w:val="right" w:leader="dot" w:pos="9736"/>
            </w:tabs>
            <w:rPr>
              <w:rFonts w:eastAsiaTheme="minorEastAsia"/>
              <w:noProof/>
              <w:lang w:eastAsia="es-ES"/>
            </w:rPr>
          </w:pPr>
          <w:hyperlink w:anchor="_Toc145349443" w:history="1">
            <w:r w:rsidRPr="00070ED4">
              <w:rPr>
                <w:rStyle w:val="Hipervnculo"/>
                <w:noProof/>
              </w:rPr>
              <w:t>E.</w:t>
            </w:r>
            <w:r>
              <w:rPr>
                <w:rFonts w:eastAsiaTheme="minorEastAsia"/>
                <w:noProof/>
                <w:lang w:eastAsia="es-ES"/>
              </w:rPr>
              <w:tab/>
            </w:r>
            <w:r w:rsidRPr="00070ED4">
              <w:rPr>
                <w:rStyle w:val="Hipervnculo"/>
                <w:noProof/>
              </w:rPr>
              <w:t>Alojamiento</w:t>
            </w:r>
            <w:r>
              <w:rPr>
                <w:noProof/>
                <w:webHidden/>
              </w:rPr>
              <w:tab/>
            </w:r>
            <w:r>
              <w:rPr>
                <w:noProof/>
                <w:webHidden/>
              </w:rPr>
              <w:fldChar w:fldCharType="begin"/>
            </w:r>
            <w:r>
              <w:rPr>
                <w:noProof/>
                <w:webHidden/>
              </w:rPr>
              <w:instrText xml:space="preserve"> PAGEREF _Toc145349443 \h </w:instrText>
            </w:r>
            <w:r>
              <w:rPr>
                <w:noProof/>
                <w:webHidden/>
              </w:rPr>
            </w:r>
            <w:r>
              <w:rPr>
                <w:noProof/>
                <w:webHidden/>
              </w:rPr>
              <w:fldChar w:fldCharType="separate"/>
            </w:r>
            <w:r w:rsidR="00394CD8">
              <w:rPr>
                <w:noProof/>
                <w:webHidden/>
              </w:rPr>
              <w:t>5</w:t>
            </w:r>
            <w:r>
              <w:rPr>
                <w:noProof/>
                <w:webHidden/>
              </w:rPr>
              <w:fldChar w:fldCharType="end"/>
            </w:r>
          </w:hyperlink>
        </w:p>
        <w:p w14:paraId="114B3F54" w14:textId="77777777" w:rsidR="008D6103" w:rsidRDefault="008D6103">
          <w:pPr>
            <w:pStyle w:val="TDC2"/>
            <w:tabs>
              <w:tab w:val="left" w:pos="660"/>
              <w:tab w:val="right" w:leader="dot" w:pos="9736"/>
            </w:tabs>
            <w:rPr>
              <w:rFonts w:eastAsiaTheme="minorEastAsia"/>
              <w:noProof/>
              <w:lang w:eastAsia="es-ES"/>
            </w:rPr>
          </w:pPr>
          <w:hyperlink w:anchor="_Toc145349444" w:history="1">
            <w:r w:rsidRPr="00070ED4">
              <w:rPr>
                <w:rStyle w:val="Hipervnculo"/>
                <w:noProof/>
              </w:rPr>
              <w:t>F.</w:t>
            </w:r>
            <w:r>
              <w:rPr>
                <w:rFonts w:eastAsiaTheme="minorEastAsia"/>
                <w:noProof/>
                <w:lang w:eastAsia="es-ES"/>
              </w:rPr>
              <w:tab/>
            </w:r>
            <w:r w:rsidRPr="00070ED4">
              <w:rPr>
                <w:rStyle w:val="Hipervnculo"/>
                <w:noProof/>
              </w:rPr>
              <w:t>Procedimiento de Pago</w:t>
            </w:r>
            <w:r>
              <w:rPr>
                <w:noProof/>
                <w:webHidden/>
              </w:rPr>
              <w:tab/>
            </w:r>
            <w:r>
              <w:rPr>
                <w:noProof/>
                <w:webHidden/>
              </w:rPr>
              <w:fldChar w:fldCharType="begin"/>
            </w:r>
            <w:r>
              <w:rPr>
                <w:noProof/>
                <w:webHidden/>
              </w:rPr>
              <w:instrText xml:space="preserve"> PAGEREF _Toc145349444 \h </w:instrText>
            </w:r>
            <w:r>
              <w:rPr>
                <w:noProof/>
                <w:webHidden/>
              </w:rPr>
            </w:r>
            <w:r>
              <w:rPr>
                <w:noProof/>
                <w:webHidden/>
              </w:rPr>
              <w:fldChar w:fldCharType="separate"/>
            </w:r>
            <w:r w:rsidR="00394CD8">
              <w:rPr>
                <w:noProof/>
                <w:webHidden/>
              </w:rPr>
              <w:t>5</w:t>
            </w:r>
            <w:r>
              <w:rPr>
                <w:noProof/>
                <w:webHidden/>
              </w:rPr>
              <w:fldChar w:fldCharType="end"/>
            </w:r>
          </w:hyperlink>
        </w:p>
        <w:p w14:paraId="42858C02" w14:textId="0EC935FC" w:rsidR="008D6103" w:rsidRDefault="008D6103">
          <w:r>
            <w:rPr>
              <w:b/>
              <w:bCs/>
            </w:rPr>
            <w:fldChar w:fldCharType="end"/>
          </w:r>
        </w:p>
      </w:sdtContent>
    </w:sdt>
    <w:p w14:paraId="61BCBEA7" w14:textId="77777777" w:rsidR="008D6103" w:rsidRDefault="008D6103">
      <w:pPr>
        <w:rPr>
          <w:rFonts w:asciiTheme="majorHAnsi" w:eastAsiaTheme="majorEastAsia" w:hAnsiTheme="majorHAnsi" w:cstheme="majorBidi"/>
          <w:color w:val="2E74B5" w:themeColor="accent1" w:themeShade="BF"/>
          <w:sz w:val="32"/>
          <w:szCs w:val="32"/>
        </w:rPr>
      </w:pPr>
      <w:bookmarkStart w:id="0" w:name="_GoBack"/>
      <w:bookmarkEnd w:id="0"/>
      <w:r>
        <w:br w:type="page"/>
      </w:r>
    </w:p>
    <w:p w14:paraId="4A9A0BC5" w14:textId="1A379786" w:rsidR="007A1DB6" w:rsidRDefault="007A1DB6" w:rsidP="0088256F">
      <w:pPr>
        <w:pStyle w:val="Ttulo1"/>
      </w:pPr>
      <w:bookmarkStart w:id="1" w:name="_Toc145349436"/>
      <w:r>
        <w:lastRenderedPageBreak/>
        <w:t>Organigrama</w:t>
      </w:r>
      <w:bookmarkEnd w:id="1"/>
    </w:p>
    <w:p w14:paraId="0EA3DFE0" w14:textId="3F60A02A" w:rsidR="00720171" w:rsidRDefault="00720171" w:rsidP="00720171">
      <w:pPr>
        <w:pStyle w:val="Prrafodelista"/>
        <w:numPr>
          <w:ilvl w:val="0"/>
          <w:numId w:val="18"/>
        </w:numPr>
      </w:pPr>
      <w:r>
        <w:t>Asignación de puestos del Comité Nacional de Árbitros</w:t>
      </w:r>
    </w:p>
    <w:p w14:paraId="78ED3C07" w14:textId="524D6B6B" w:rsidR="00720171" w:rsidRDefault="00720171" w:rsidP="00720171">
      <w:pPr>
        <w:pStyle w:val="Prrafodelista"/>
        <w:numPr>
          <w:ilvl w:val="1"/>
          <w:numId w:val="18"/>
        </w:numPr>
      </w:pPr>
      <w:r>
        <w:t>Juan Carlos García Flores - Coordinador</w:t>
      </w:r>
    </w:p>
    <w:p w14:paraId="3E94D478" w14:textId="77777777" w:rsidR="00A2146D" w:rsidRDefault="00A34377" w:rsidP="00A2146D">
      <w:pPr>
        <w:pStyle w:val="Prrafodelista"/>
        <w:numPr>
          <w:ilvl w:val="1"/>
          <w:numId w:val="18"/>
        </w:numPr>
      </w:pPr>
      <w:r w:rsidRPr="00A34377">
        <w:t>Eloy Jesús Sánchez-Cid García-</w:t>
      </w:r>
      <w:r w:rsidR="00473110" w:rsidRPr="00A34377">
        <w:t>Tenorio</w:t>
      </w:r>
      <w:r w:rsidR="00473110">
        <w:t xml:space="preserve"> -</w:t>
      </w:r>
      <w:r w:rsidR="00720171">
        <w:t xml:space="preserve"> Responsable de Contabilidad y Competiciones </w:t>
      </w:r>
    </w:p>
    <w:p w14:paraId="0BBBAA7E" w14:textId="6EA7D2D6" w:rsidR="00A2146D" w:rsidRPr="00A2146D" w:rsidRDefault="00A2146D" w:rsidP="00A2146D">
      <w:pPr>
        <w:pStyle w:val="Prrafodelista"/>
        <w:numPr>
          <w:ilvl w:val="1"/>
          <w:numId w:val="18"/>
        </w:numPr>
      </w:pPr>
      <w:r w:rsidRPr="00A2146D">
        <w:rPr>
          <w:color w:val="000000"/>
        </w:rPr>
        <w:t>Víctor Báez Fernández – Responsable de Relaciones institucionales y Competiciones</w:t>
      </w:r>
    </w:p>
    <w:p w14:paraId="243D8F75" w14:textId="17F76FEC" w:rsidR="005C535C" w:rsidRDefault="005C535C" w:rsidP="00A34377">
      <w:pPr>
        <w:pStyle w:val="Prrafodelista"/>
        <w:numPr>
          <w:ilvl w:val="1"/>
          <w:numId w:val="18"/>
        </w:numPr>
      </w:pPr>
      <w:r>
        <w:t xml:space="preserve">Mike </w:t>
      </w:r>
      <w:proofErr w:type="spellStart"/>
      <w:r>
        <w:t>Hess</w:t>
      </w:r>
      <w:proofErr w:type="spellEnd"/>
      <w:r>
        <w:t xml:space="preserve"> </w:t>
      </w:r>
      <w:r w:rsidR="00473110">
        <w:t>–</w:t>
      </w:r>
      <w:r>
        <w:t xml:space="preserve"> Asesor</w:t>
      </w:r>
    </w:p>
    <w:p w14:paraId="5502E29C" w14:textId="45628774" w:rsidR="00473110" w:rsidRDefault="00473110" w:rsidP="00A34377">
      <w:pPr>
        <w:pStyle w:val="Prrafodelista"/>
        <w:numPr>
          <w:ilvl w:val="1"/>
          <w:numId w:val="18"/>
        </w:numPr>
      </w:pPr>
      <w:r>
        <w:t>Delegados Territoriales:</w:t>
      </w:r>
    </w:p>
    <w:p w14:paraId="73B514D9" w14:textId="7DE1669F" w:rsidR="00473110" w:rsidRDefault="00473110" w:rsidP="00473110">
      <w:pPr>
        <w:pStyle w:val="Prrafodelista"/>
        <w:numPr>
          <w:ilvl w:val="2"/>
          <w:numId w:val="18"/>
        </w:numPr>
      </w:pPr>
      <w:r>
        <w:t>Julián Jiménez Herrera, delegado para Andalucía</w:t>
      </w:r>
    </w:p>
    <w:p w14:paraId="170CD651" w14:textId="0EE21EC4" w:rsidR="00473110" w:rsidRDefault="00473110" w:rsidP="00473110">
      <w:pPr>
        <w:pStyle w:val="Prrafodelista"/>
        <w:numPr>
          <w:ilvl w:val="2"/>
          <w:numId w:val="18"/>
        </w:numPr>
      </w:pPr>
      <w:proofErr w:type="spellStart"/>
      <w:r w:rsidRPr="00473110">
        <w:t>Jose</w:t>
      </w:r>
      <w:proofErr w:type="spellEnd"/>
      <w:r w:rsidRPr="00473110">
        <w:t xml:space="preserve"> Luis Revilla Gallego</w:t>
      </w:r>
      <w:r>
        <w:t>, delegado para Castilla y León y Extremadura</w:t>
      </w:r>
    </w:p>
    <w:p w14:paraId="22B9B57A" w14:textId="095F7749" w:rsidR="00720171" w:rsidRDefault="00473110" w:rsidP="00720171">
      <w:pPr>
        <w:pStyle w:val="Prrafodelista"/>
        <w:numPr>
          <w:ilvl w:val="0"/>
          <w:numId w:val="18"/>
        </w:numPr>
      </w:pPr>
      <w:r>
        <w:t xml:space="preserve">En las asociaciones que no exista delegado, </w:t>
      </w:r>
      <w:r w:rsidR="00A34377">
        <w:t>su</w:t>
      </w:r>
      <w:r>
        <w:t>s</w:t>
      </w:r>
      <w:r w:rsidR="00A34377">
        <w:t xml:space="preserve"> </w:t>
      </w:r>
      <w:r>
        <w:t>funciones</w:t>
      </w:r>
      <w:r w:rsidR="00A34377">
        <w:t xml:space="preserve"> será</w:t>
      </w:r>
      <w:r>
        <w:t>n</w:t>
      </w:r>
      <w:r w:rsidR="00A34377">
        <w:t xml:space="preserve"> gestionad</w:t>
      </w:r>
      <w:r>
        <w:t>as</w:t>
      </w:r>
      <w:r w:rsidR="00A34377">
        <w:t xml:space="preserve"> desde el propio Comité Nacional.</w:t>
      </w:r>
    </w:p>
    <w:p w14:paraId="7053B080" w14:textId="68C25BD4" w:rsidR="007A1DB6" w:rsidRDefault="00F92C42" w:rsidP="00720171">
      <w:pPr>
        <w:pStyle w:val="Prrafodelista"/>
        <w:numPr>
          <w:ilvl w:val="0"/>
          <w:numId w:val="18"/>
        </w:numPr>
      </w:pPr>
      <w:r>
        <w:t>P</w:t>
      </w:r>
      <w:r w:rsidR="007A1DB6">
        <w:t>odr</w:t>
      </w:r>
      <w:r w:rsidR="00257746">
        <w:t>á formar parte del Comité cualquier persona que manifieste su disposición a colaborar en la gestión de las tareas y cometidos del Comité.</w:t>
      </w:r>
    </w:p>
    <w:p w14:paraId="63113701" w14:textId="3B2F1982" w:rsidR="007A1DB6" w:rsidRDefault="007A1DB6" w:rsidP="0088256F">
      <w:pPr>
        <w:pStyle w:val="Ttulo1"/>
      </w:pPr>
      <w:bookmarkStart w:id="2" w:name="_Toc145349437"/>
      <w:r>
        <w:t>Comunicaciones</w:t>
      </w:r>
      <w:bookmarkEnd w:id="2"/>
    </w:p>
    <w:p w14:paraId="5374039F" w14:textId="52FC8449" w:rsidR="00257746" w:rsidRPr="005537A9" w:rsidRDefault="00257746" w:rsidP="00257746">
      <w:pPr>
        <w:pStyle w:val="Prrafodelista"/>
        <w:numPr>
          <w:ilvl w:val="0"/>
          <w:numId w:val="20"/>
        </w:numPr>
        <w:rPr>
          <w:rStyle w:val="nfasis"/>
          <w:i w:val="0"/>
          <w:iCs w:val="0"/>
        </w:rPr>
      </w:pPr>
      <w:r>
        <w:t xml:space="preserve">El correo del CNAPb es:  </w:t>
      </w:r>
      <w:hyperlink r:id="rId9" w:history="1">
        <w:r w:rsidR="005537A9" w:rsidRPr="005537A9">
          <w:rPr>
            <w:rStyle w:val="nfasisintenso"/>
          </w:rPr>
          <w:t>arbitros.pickleballspain@gmail.com</w:t>
        </w:r>
      </w:hyperlink>
    </w:p>
    <w:p w14:paraId="527EE3AA" w14:textId="6AD2619B" w:rsidR="009338D2" w:rsidRDefault="009338D2" w:rsidP="009338D2">
      <w:pPr>
        <w:pStyle w:val="Prrafodelista"/>
        <w:numPr>
          <w:ilvl w:val="0"/>
          <w:numId w:val="20"/>
        </w:numPr>
      </w:pPr>
      <w:r>
        <w:t xml:space="preserve">El enlace al chat general del CNAPb en Discord es: </w:t>
      </w:r>
      <w:r w:rsidRPr="005537A9">
        <w:rPr>
          <w:rStyle w:val="nfasisintenso"/>
        </w:rPr>
        <w:t>https://discord.gg/Pp7ApHjQ</w:t>
      </w:r>
    </w:p>
    <w:p w14:paraId="5DFFD8DA" w14:textId="06C36F6F" w:rsidR="007A1DB6" w:rsidRDefault="007A1DB6" w:rsidP="0088256F">
      <w:pPr>
        <w:pStyle w:val="Ttulo1"/>
      </w:pPr>
      <w:bookmarkStart w:id="3" w:name="_Toc145349438"/>
      <w:r>
        <w:t>Competiciones</w:t>
      </w:r>
      <w:bookmarkEnd w:id="3"/>
    </w:p>
    <w:p w14:paraId="1296A488" w14:textId="4B5E3FD0" w:rsidR="0088256F" w:rsidRPr="0088256F" w:rsidRDefault="0088256F" w:rsidP="0088256F">
      <w:pPr>
        <w:pStyle w:val="Ttulo2"/>
      </w:pPr>
      <w:bookmarkStart w:id="4" w:name="_Toc145349439"/>
      <w:r>
        <w:t>Normas generales.</w:t>
      </w:r>
      <w:bookmarkEnd w:id="4"/>
    </w:p>
    <w:p w14:paraId="2A129977" w14:textId="77777777" w:rsidR="00FA3DD4" w:rsidRPr="00411253" w:rsidRDefault="00FA3DD4" w:rsidP="00FA3DD4">
      <w:pPr>
        <w:numPr>
          <w:ilvl w:val="0"/>
          <w:numId w:val="29"/>
        </w:numPr>
        <w:pBdr>
          <w:top w:val="nil"/>
          <w:left w:val="nil"/>
          <w:bottom w:val="nil"/>
          <w:right w:val="nil"/>
          <w:between w:val="nil"/>
        </w:pBdr>
        <w:spacing w:after="0"/>
      </w:pPr>
      <w:r>
        <w:rPr>
          <w:rFonts w:ascii="Calibri" w:eastAsia="Calibri" w:hAnsi="Calibri" w:cs="Calibri"/>
          <w:color w:val="000000"/>
        </w:rPr>
        <w:t>Para poder arbitrar</w:t>
      </w:r>
      <w:r>
        <w:rPr>
          <w:color w:val="000000"/>
        </w:rPr>
        <w:t xml:space="preserve"> oficialmente y que los partidos se consideren </w:t>
      </w:r>
      <w:r w:rsidRPr="00411253">
        <w:rPr>
          <w:b/>
          <w:color w:val="000000"/>
        </w:rPr>
        <w:t>sancionados</w:t>
      </w:r>
      <w:r>
        <w:rPr>
          <w:rFonts w:ascii="Calibri" w:eastAsia="Calibri" w:hAnsi="Calibri" w:cs="Calibri"/>
          <w:color w:val="000000"/>
        </w:rPr>
        <w:t xml:space="preserve">, los árbitros, además de la titulación que acredite su nivel, deberán estar en posesión de la </w:t>
      </w:r>
      <w:r>
        <w:rPr>
          <w:rFonts w:ascii="Calibri" w:eastAsia="Calibri" w:hAnsi="Calibri" w:cs="Calibri"/>
          <w:b/>
          <w:color w:val="000000"/>
        </w:rPr>
        <w:t>Licencia Arbitral</w:t>
      </w:r>
      <w:r>
        <w:rPr>
          <w:b/>
          <w:color w:val="000000"/>
        </w:rPr>
        <w:t>.</w:t>
      </w:r>
    </w:p>
    <w:p w14:paraId="26962F64" w14:textId="77777777" w:rsidR="00FA3DD4" w:rsidRPr="00411253" w:rsidRDefault="00FA3DD4" w:rsidP="00FA3DD4">
      <w:pPr>
        <w:numPr>
          <w:ilvl w:val="1"/>
          <w:numId w:val="29"/>
        </w:numPr>
        <w:pBdr>
          <w:top w:val="nil"/>
          <w:left w:val="nil"/>
          <w:bottom w:val="nil"/>
          <w:right w:val="nil"/>
          <w:between w:val="nil"/>
        </w:pBdr>
        <w:spacing w:after="0"/>
      </w:pPr>
      <w:r>
        <w:rPr>
          <w:b/>
          <w:color w:val="000000"/>
        </w:rPr>
        <w:t>Licencia anual</w:t>
      </w:r>
      <w:r>
        <w:rPr>
          <w:rFonts w:ascii="Calibri" w:eastAsia="Calibri" w:hAnsi="Calibri" w:cs="Calibri"/>
          <w:color w:val="000000"/>
        </w:rPr>
        <w:t>, cuyo coste es de 30€</w:t>
      </w:r>
      <w:r>
        <w:rPr>
          <w:color w:val="000000"/>
        </w:rPr>
        <w:t>, y permitirá arbitrar cualquier partido oficialmente</w:t>
      </w:r>
      <w:r>
        <w:rPr>
          <w:rFonts w:ascii="Calibri" w:eastAsia="Calibri" w:hAnsi="Calibri" w:cs="Calibri"/>
          <w:color w:val="000000"/>
        </w:rPr>
        <w:t>.</w:t>
      </w:r>
    </w:p>
    <w:p w14:paraId="35ED4AF9" w14:textId="6AA4DBE7" w:rsidR="00F92C42" w:rsidRDefault="00FA3DD4" w:rsidP="00FA3DD4">
      <w:pPr>
        <w:pStyle w:val="Prrafodelista"/>
        <w:numPr>
          <w:ilvl w:val="1"/>
          <w:numId w:val="18"/>
        </w:numPr>
      </w:pPr>
      <w:r>
        <w:rPr>
          <w:b/>
          <w:color w:val="000000"/>
        </w:rPr>
        <w:t>Licencia temporal,</w:t>
      </w:r>
      <w:r w:rsidRPr="00411253">
        <w:rPr>
          <w:color w:val="000000"/>
        </w:rPr>
        <w:t xml:space="preserve"> </w:t>
      </w:r>
      <w:r>
        <w:rPr>
          <w:color w:val="000000"/>
        </w:rPr>
        <w:t>cuyo coste es de 12</w:t>
      </w:r>
      <w:r w:rsidRPr="00411253">
        <w:rPr>
          <w:color w:val="000000"/>
        </w:rPr>
        <w:t>€</w:t>
      </w:r>
      <w:r>
        <w:rPr>
          <w:color w:val="000000"/>
        </w:rPr>
        <w:t>, y se expedirá para cubrir un torneo o período determinado y sólo tendrá validez para esos eventos.</w:t>
      </w:r>
    </w:p>
    <w:p w14:paraId="10F09432" w14:textId="782B11FE" w:rsidR="007A1DB6" w:rsidRDefault="007A1DB6" w:rsidP="00720171">
      <w:pPr>
        <w:pStyle w:val="Prrafodelista"/>
        <w:numPr>
          <w:ilvl w:val="0"/>
          <w:numId w:val="18"/>
        </w:numPr>
      </w:pPr>
      <w:r>
        <w:t>Se definirán las</w:t>
      </w:r>
      <w:r w:rsidR="00F92C42">
        <w:t xml:space="preserve"> buenas prácticas </w:t>
      </w:r>
      <w:r w:rsidR="009338D2">
        <w:t>a la hora de poder arbitrar un par</w:t>
      </w:r>
      <w:r w:rsidR="003053DB">
        <w:t xml:space="preserve">tido donde se mezclen intereses, ya sean por participación en la competición, por implicación personal o por intereses </w:t>
      </w:r>
      <w:r w:rsidR="004C44BC">
        <w:t>económicos</w:t>
      </w:r>
      <w:r w:rsidR="003053DB">
        <w:t>.</w:t>
      </w:r>
      <w:r w:rsidR="004C44BC">
        <w:t xml:space="preserve"> Si bien se flexibilizará todo lo posible, apelando en último momento al consenso entre los jugadores, para que el partido pueda ser arbitrado</w:t>
      </w:r>
      <w:r w:rsidR="00F92C42">
        <w:t>.</w:t>
      </w:r>
    </w:p>
    <w:p w14:paraId="51D380CF" w14:textId="12450553" w:rsidR="00305B98" w:rsidRDefault="00305B98" w:rsidP="00305B98">
      <w:pPr>
        <w:pStyle w:val="Prrafodelista"/>
        <w:numPr>
          <w:ilvl w:val="0"/>
          <w:numId w:val="18"/>
        </w:numPr>
      </w:pPr>
      <w:r>
        <w:t>Al comienzo del partido, el árbitro debe hacer saber a los jugadores si tiene algún tipo de vínculo con cualquiera de los jugadores, y los jugadores, en cualquier caso, tendrán siempre la última palabra para aceptar o impugnar a un árbitro, pero siempre antes del partido y, si es posible, se cambiará por otro árbitro. Una vez aceptado el árbitro no habrá posibilidad de reclamación por este motivo</w:t>
      </w:r>
    </w:p>
    <w:p w14:paraId="07842430" w14:textId="77777777" w:rsidR="00F65B53" w:rsidRDefault="00F65B53" w:rsidP="00F65B53">
      <w:pPr>
        <w:pStyle w:val="Prrafodelista"/>
        <w:numPr>
          <w:ilvl w:val="0"/>
          <w:numId w:val="18"/>
        </w:numPr>
      </w:pPr>
      <w:r>
        <w:rPr>
          <w:color w:val="000000"/>
        </w:rPr>
        <w:t xml:space="preserve">Todas las actas arbitrales de cada partido deberán ser registradas, incluida una foto del acta, en el formulario: </w:t>
      </w:r>
      <w:hyperlink r:id="rId10">
        <w:r>
          <w:rPr>
            <w:color w:val="0563C1"/>
            <w:u w:val="single"/>
          </w:rPr>
          <w:t>https://forms.gle/T56BvMMoiL97uRaG9</w:t>
        </w:r>
      </w:hyperlink>
    </w:p>
    <w:p w14:paraId="736CF6D0" w14:textId="77777777" w:rsidR="00F65B53" w:rsidRDefault="00F65B53" w:rsidP="00F65B53">
      <w:pPr>
        <w:pStyle w:val="Prrafodelista"/>
        <w:numPr>
          <w:ilvl w:val="0"/>
          <w:numId w:val="18"/>
        </w:numPr>
      </w:pPr>
      <w:r>
        <w:t xml:space="preserve">Se recomienda que una vez por torneo sea rellenado el </w:t>
      </w:r>
      <w:proofErr w:type="spellStart"/>
      <w:r>
        <w:t>Autotest</w:t>
      </w:r>
      <w:proofErr w:type="spellEnd"/>
      <w:r>
        <w:t xml:space="preserve"> tanto por el árbitro cómo por el Organizador o el Juez Árbitro o cualquier que haya podido presenciar la actuación arbitral: </w:t>
      </w:r>
      <w:hyperlink r:id="rId11">
        <w:r>
          <w:rPr>
            <w:color w:val="0563C1"/>
            <w:u w:val="single"/>
          </w:rPr>
          <w:t>https://forms.gle/PyADwkfhbQaps5sQA</w:t>
        </w:r>
      </w:hyperlink>
      <w:r>
        <w:t>.</w:t>
      </w:r>
    </w:p>
    <w:p w14:paraId="0923BBB6" w14:textId="77777777" w:rsidR="00305B98" w:rsidRDefault="00305B98" w:rsidP="00305B98">
      <w:pPr>
        <w:pStyle w:val="Prrafodelista"/>
        <w:numPr>
          <w:ilvl w:val="0"/>
          <w:numId w:val="18"/>
        </w:numPr>
      </w:pPr>
      <w:r>
        <w:t>Si el árbitro participa en el torneo como jugador:</w:t>
      </w:r>
    </w:p>
    <w:p w14:paraId="0FDA5712" w14:textId="0077F631" w:rsidR="00305B98" w:rsidRDefault="00305B98" w:rsidP="00305B98">
      <w:pPr>
        <w:pStyle w:val="Prrafodelista"/>
        <w:numPr>
          <w:ilvl w:val="1"/>
          <w:numId w:val="18"/>
        </w:numPr>
      </w:pPr>
      <w:r>
        <w:t>Podrá arbitrar en aquellas categorías en las que no esté inscrito</w:t>
      </w:r>
      <w:r w:rsidR="00BC5567">
        <w:t>.</w:t>
      </w:r>
    </w:p>
    <w:p w14:paraId="39A7B024" w14:textId="464B16BE" w:rsidR="00305B98" w:rsidRDefault="00305B98" w:rsidP="00305B98">
      <w:pPr>
        <w:pStyle w:val="Prrafodelista"/>
        <w:numPr>
          <w:ilvl w:val="1"/>
          <w:numId w:val="18"/>
        </w:numPr>
      </w:pPr>
      <w:r>
        <w:t>No podrá arbitrar partidos de su categoría mientras esté en competición.</w:t>
      </w:r>
    </w:p>
    <w:p w14:paraId="152C53A0" w14:textId="3F99414F" w:rsidR="00BC5567" w:rsidRDefault="00BC5567" w:rsidP="00305B98">
      <w:pPr>
        <w:pStyle w:val="Prrafodelista"/>
        <w:numPr>
          <w:ilvl w:val="1"/>
          <w:numId w:val="18"/>
        </w:numPr>
      </w:pPr>
      <w:r>
        <w:t>Para poder arbitrar partidos de su propia categoría, una vez eliminado, deberá tener la aceptación del juez árbitro y la de los participantes.</w:t>
      </w:r>
    </w:p>
    <w:p w14:paraId="34FF4224" w14:textId="0FA3FBC3" w:rsidR="00BC5567" w:rsidRDefault="00BC5567" w:rsidP="00305B98">
      <w:pPr>
        <w:pStyle w:val="Prrafodelista"/>
        <w:numPr>
          <w:ilvl w:val="1"/>
          <w:numId w:val="18"/>
        </w:numPr>
      </w:pPr>
      <w:r>
        <w:t>No tendrá derecho a percibir los gastos ocasionados por los desplazamientos.</w:t>
      </w:r>
    </w:p>
    <w:p w14:paraId="2838414F" w14:textId="16EA4900" w:rsidR="00305B98" w:rsidRDefault="00BC5567" w:rsidP="00305B98">
      <w:pPr>
        <w:pStyle w:val="Prrafodelista"/>
        <w:numPr>
          <w:ilvl w:val="1"/>
          <w:numId w:val="18"/>
        </w:numPr>
      </w:pPr>
      <w:r>
        <w:lastRenderedPageBreak/>
        <w:t>No tendrá derecho a percibir ni dietas, ni alojamiento por el día en el que participa como jugador. Si el torneo es de varios días y sólo participa en uno, sólo perderá las dietas y el alojamiento correspondientes al día que participa.</w:t>
      </w:r>
    </w:p>
    <w:p w14:paraId="15C1AE8D" w14:textId="04E7393C" w:rsidR="00BE28DA" w:rsidRDefault="00BE28DA" w:rsidP="00F92C42">
      <w:pPr>
        <w:pStyle w:val="Prrafodelista"/>
        <w:numPr>
          <w:ilvl w:val="0"/>
          <w:numId w:val="18"/>
        </w:numPr>
      </w:pPr>
      <w:r>
        <w:t>El Organizador debe facilitar todos los datos necesarios para poder dimensionar el torneo:</w:t>
      </w:r>
    </w:p>
    <w:p w14:paraId="358B5FD4" w14:textId="34B323F8" w:rsidR="00BE28DA" w:rsidRDefault="00BE28DA" w:rsidP="00BE28DA">
      <w:pPr>
        <w:pStyle w:val="Prrafodelista"/>
        <w:numPr>
          <w:ilvl w:val="1"/>
          <w:numId w:val="18"/>
        </w:numPr>
      </w:pPr>
      <w:r>
        <w:t>Nº de Pistas simultáneas</w:t>
      </w:r>
    </w:p>
    <w:p w14:paraId="74293816" w14:textId="7C7376CD" w:rsidR="00BE28DA" w:rsidRDefault="00BE28DA" w:rsidP="00BE28DA">
      <w:pPr>
        <w:pStyle w:val="Prrafodelista"/>
        <w:numPr>
          <w:ilvl w:val="1"/>
          <w:numId w:val="18"/>
        </w:numPr>
      </w:pPr>
      <w:r>
        <w:t>Nº de Participantes</w:t>
      </w:r>
    </w:p>
    <w:p w14:paraId="4FDC0E6F" w14:textId="64D4D68F" w:rsidR="00BE28DA" w:rsidRDefault="00BE28DA" w:rsidP="00BE28DA">
      <w:pPr>
        <w:pStyle w:val="Prrafodelista"/>
        <w:numPr>
          <w:ilvl w:val="1"/>
          <w:numId w:val="18"/>
        </w:numPr>
      </w:pPr>
      <w:r>
        <w:t>Nº de Categorías</w:t>
      </w:r>
    </w:p>
    <w:p w14:paraId="54380962" w14:textId="0DCCCAE7" w:rsidR="00137CE4" w:rsidRDefault="00137CE4" w:rsidP="00BE28DA">
      <w:pPr>
        <w:pStyle w:val="Prrafodelista"/>
        <w:numPr>
          <w:ilvl w:val="1"/>
          <w:numId w:val="18"/>
        </w:numPr>
      </w:pPr>
      <w:r>
        <w:t>Nº de sesiones</w:t>
      </w:r>
    </w:p>
    <w:p w14:paraId="0C3A6F9F" w14:textId="3EEAFCEF" w:rsidR="00137CE4" w:rsidRDefault="00137CE4" w:rsidP="00BE28DA">
      <w:pPr>
        <w:pStyle w:val="Prrafodelista"/>
        <w:numPr>
          <w:ilvl w:val="1"/>
          <w:numId w:val="18"/>
        </w:numPr>
      </w:pPr>
      <w:r>
        <w:t>Tiempo estimado por sesión</w:t>
      </w:r>
    </w:p>
    <w:p w14:paraId="682EC5D1" w14:textId="7F6FBDD1" w:rsidR="00137CE4" w:rsidRDefault="00137CE4" w:rsidP="00BE28DA">
      <w:pPr>
        <w:pStyle w:val="Prrafodelista"/>
        <w:numPr>
          <w:ilvl w:val="1"/>
          <w:numId w:val="18"/>
        </w:numPr>
      </w:pPr>
      <w:r>
        <w:t>Ámbito de</w:t>
      </w:r>
      <w:r w:rsidR="00D7469B">
        <w:t>l</w:t>
      </w:r>
      <w:r>
        <w:t xml:space="preserve"> </w:t>
      </w:r>
      <w:r w:rsidR="00D7469B">
        <w:t>torneo</w:t>
      </w:r>
      <w:r>
        <w:t xml:space="preserve"> (local, territorial, nacional, internacional, </w:t>
      </w:r>
      <w:proofErr w:type="spellStart"/>
      <w:r>
        <w:t>etc</w:t>
      </w:r>
      <w:proofErr w:type="spellEnd"/>
      <w:r>
        <w:t>)</w:t>
      </w:r>
    </w:p>
    <w:p w14:paraId="6A4A5E31" w14:textId="58BF63C6" w:rsidR="00137CE4" w:rsidRDefault="00137CE4" w:rsidP="00BE28DA">
      <w:pPr>
        <w:pStyle w:val="Prrafodelista"/>
        <w:numPr>
          <w:ilvl w:val="1"/>
          <w:numId w:val="18"/>
        </w:numPr>
      </w:pPr>
      <w:r>
        <w:t xml:space="preserve">Nº de partidos a arbitrar (rondas clasificatorias, cuadro final, semifinales y final, </w:t>
      </w:r>
      <w:proofErr w:type="spellStart"/>
      <w:r>
        <w:t>etc</w:t>
      </w:r>
      <w:proofErr w:type="spellEnd"/>
      <w:r>
        <w:t>)</w:t>
      </w:r>
    </w:p>
    <w:p w14:paraId="4163975E" w14:textId="38430183" w:rsidR="00137CE4" w:rsidRDefault="00137CE4" w:rsidP="00BE28DA">
      <w:pPr>
        <w:pStyle w:val="Prrafodelista"/>
        <w:numPr>
          <w:ilvl w:val="1"/>
          <w:numId w:val="18"/>
        </w:numPr>
      </w:pPr>
      <w:r>
        <w:t>Disponibilidad de árbitros para cubrir partidos que lo soliciten</w:t>
      </w:r>
    </w:p>
    <w:p w14:paraId="76BE28AB" w14:textId="6670F05B" w:rsidR="00F92C42" w:rsidRDefault="00F92C42" w:rsidP="00F92C42">
      <w:pPr>
        <w:pStyle w:val="Prrafodelista"/>
        <w:numPr>
          <w:ilvl w:val="0"/>
          <w:numId w:val="18"/>
        </w:numPr>
      </w:pPr>
      <w:r w:rsidRPr="00F92C42">
        <w:t>Para cada torneo</w:t>
      </w:r>
      <w:r w:rsidR="00BE28DA">
        <w:t>, y a través del delegado territorial,</w:t>
      </w:r>
      <w:r w:rsidRPr="00F92C42">
        <w:t xml:space="preserve"> se nombrarán los árbitros con disponibilidad y capacidad para arbitrar dicho torneo.</w:t>
      </w:r>
    </w:p>
    <w:p w14:paraId="51FD56F1" w14:textId="7A26FF8E" w:rsidR="00505A07" w:rsidRDefault="00137CE4" w:rsidP="00720171">
      <w:pPr>
        <w:pStyle w:val="Prrafodelista"/>
        <w:numPr>
          <w:ilvl w:val="0"/>
          <w:numId w:val="18"/>
        </w:numPr>
      </w:pPr>
      <w:r>
        <w:t xml:space="preserve">En los torneos grandes, se nombrará un juez árbitro que formará parte del </w:t>
      </w:r>
      <w:r w:rsidR="00505A07">
        <w:t xml:space="preserve">Comité de Competición y </w:t>
      </w:r>
      <w:r>
        <w:t xml:space="preserve">nombrará </w:t>
      </w:r>
      <w:r w:rsidR="00505A07">
        <w:t>un Comité de Disciplina</w:t>
      </w:r>
      <w:r w:rsidR="00224363">
        <w:t xml:space="preserve"> y Méritos.</w:t>
      </w:r>
    </w:p>
    <w:p w14:paraId="6475B9ED" w14:textId="7834DE8C" w:rsidR="00137CE4" w:rsidRDefault="00137CE4" w:rsidP="00137CE4">
      <w:pPr>
        <w:pStyle w:val="Prrafodelista"/>
        <w:numPr>
          <w:ilvl w:val="0"/>
          <w:numId w:val="18"/>
        </w:numPr>
      </w:pPr>
      <w:r>
        <w:t>Una vez recibida la solicitud de arbitraje</w:t>
      </w:r>
      <w:r w:rsidR="00AB6E52">
        <w:t xml:space="preserve"> se</w:t>
      </w:r>
      <w:r>
        <w:t xml:space="preserve"> establec</w:t>
      </w:r>
      <w:r w:rsidR="00AB6E52">
        <w:t>en</w:t>
      </w:r>
      <w:r>
        <w:t xml:space="preserve"> los recursos necesarios en función de la magnitud del </w:t>
      </w:r>
      <w:r w:rsidR="00D7469B">
        <w:t>torneo</w:t>
      </w:r>
      <w:r>
        <w:t xml:space="preserve"> y analizada la disponibilidad de los árbitros</w:t>
      </w:r>
      <w:r w:rsidR="00AB6E52">
        <w:t>.</w:t>
      </w:r>
    </w:p>
    <w:p w14:paraId="6E368357" w14:textId="4B260225" w:rsidR="00AB6E52" w:rsidRDefault="00AB6E52" w:rsidP="00137CE4">
      <w:pPr>
        <w:pStyle w:val="Prrafodelista"/>
        <w:numPr>
          <w:ilvl w:val="0"/>
          <w:numId w:val="18"/>
        </w:numPr>
      </w:pPr>
      <w:r>
        <w:t>Una vez establecido el número total de árbitros para un torneo se elabora la siguiente previsión de gastos de cada árbitro:</w:t>
      </w:r>
    </w:p>
    <w:p w14:paraId="4B7B283F" w14:textId="3E72AD0F" w:rsidR="00AB6E52" w:rsidRDefault="00AB6E52" w:rsidP="00AB6E52">
      <w:pPr>
        <w:pStyle w:val="Prrafodelista"/>
        <w:numPr>
          <w:ilvl w:val="1"/>
          <w:numId w:val="18"/>
        </w:numPr>
      </w:pPr>
      <w:r>
        <w:t>Nombre y Apellidos</w:t>
      </w:r>
    </w:p>
    <w:p w14:paraId="5065E014" w14:textId="387B3AEE" w:rsidR="00AB6E52" w:rsidRDefault="00AB6E52" w:rsidP="00AB6E52">
      <w:pPr>
        <w:pStyle w:val="Prrafodelista"/>
        <w:numPr>
          <w:ilvl w:val="1"/>
          <w:numId w:val="18"/>
        </w:numPr>
      </w:pPr>
      <w:r>
        <w:t>Dirección</w:t>
      </w:r>
    </w:p>
    <w:p w14:paraId="6A907CBF" w14:textId="2320FA3E" w:rsidR="00AB6E52" w:rsidRDefault="00AB6E52" w:rsidP="00AB6E52">
      <w:pPr>
        <w:pStyle w:val="Prrafodelista"/>
        <w:numPr>
          <w:ilvl w:val="1"/>
          <w:numId w:val="18"/>
        </w:numPr>
      </w:pPr>
      <w:r>
        <w:t>Teléfono de contacto</w:t>
      </w:r>
    </w:p>
    <w:p w14:paraId="432CD0AC" w14:textId="2A032070" w:rsidR="00AB6E52" w:rsidRDefault="00AB6E52" w:rsidP="00AB6E52">
      <w:pPr>
        <w:pStyle w:val="Prrafodelista"/>
        <w:numPr>
          <w:ilvl w:val="1"/>
          <w:numId w:val="18"/>
        </w:numPr>
      </w:pPr>
      <w:r>
        <w:t>Conceptos de pago:</w:t>
      </w:r>
    </w:p>
    <w:p w14:paraId="550035CA" w14:textId="65386F56" w:rsidR="00AB6E52" w:rsidRDefault="00AB6E52" w:rsidP="00AB6E52">
      <w:pPr>
        <w:pStyle w:val="Prrafodelista"/>
        <w:numPr>
          <w:ilvl w:val="2"/>
          <w:numId w:val="18"/>
        </w:numPr>
      </w:pPr>
      <w:r>
        <w:t>Desplazamiento: medio de transporte y cantidad</w:t>
      </w:r>
    </w:p>
    <w:p w14:paraId="41141421" w14:textId="4C014168" w:rsidR="00AB6E52" w:rsidRDefault="00AB6E52" w:rsidP="00AB6E52">
      <w:pPr>
        <w:pStyle w:val="Prrafodelista"/>
        <w:numPr>
          <w:ilvl w:val="2"/>
          <w:numId w:val="18"/>
        </w:numPr>
      </w:pPr>
      <w:r>
        <w:t>Manutención y/o alojamiento</w:t>
      </w:r>
    </w:p>
    <w:p w14:paraId="67371F46" w14:textId="426C1C2B" w:rsidR="00AB6E52" w:rsidRDefault="00AB6E52" w:rsidP="00AB6E52">
      <w:pPr>
        <w:pStyle w:val="Prrafodelista"/>
        <w:numPr>
          <w:ilvl w:val="2"/>
          <w:numId w:val="18"/>
        </w:numPr>
      </w:pPr>
      <w:r>
        <w:t>Derechos de arbitraje</w:t>
      </w:r>
    </w:p>
    <w:p w14:paraId="4881743E" w14:textId="0FF0C559" w:rsidR="00AB6E52" w:rsidRDefault="00AB6E52" w:rsidP="00AB6E52">
      <w:pPr>
        <w:pStyle w:val="Prrafodelista"/>
        <w:numPr>
          <w:ilvl w:val="0"/>
          <w:numId w:val="18"/>
        </w:numPr>
      </w:pPr>
      <w:r>
        <w:t>Con todos estos datos se enviará por e-mail al organizador para que acepte los términos y condiciones del servicio, que tendrá carácter contractual.</w:t>
      </w:r>
    </w:p>
    <w:p w14:paraId="34E82EC5" w14:textId="4A57187A" w:rsidR="000000FA" w:rsidRDefault="000000FA" w:rsidP="00AB6E52">
      <w:pPr>
        <w:pStyle w:val="Prrafodelista"/>
        <w:numPr>
          <w:ilvl w:val="0"/>
          <w:numId w:val="18"/>
        </w:numPr>
      </w:pPr>
      <w:r>
        <w:t xml:space="preserve">Todos los precios reflejados van </w:t>
      </w:r>
      <w:r w:rsidRPr="000000FA">
        <w:rPr>
          <w:b/>
        </w:rPr>
        <w:t>sin IVA</w:t>
      </w:r>
      <w:r>
        <w:t>.</w:t>
      </w:r>
    </w:p>
    <w:p w14:paraId="1BABC396" w14:textId="344FA3D9" w:rsidR="0088256F" w:rsidRDefault="0088256F" w:rsidP="00E77327">
      <w:pPr>
        <w:pStyle w:val="Prrafodelista"/>
        <w:numPr>
          <w:ilvl w:val="0"/>
          <w:numId w:val="18"/>
        </w:numPr>
      </w:pPr>
      <w:r>
        <w:t>Si un encuentro se suspende con antelación suficiente, de manera que los árbitros no llegaran a desplazarse al terreno de juego, no se abonará cantidad alguna a los árbitros designados.</w:t>
      </w:r>
    </w:p>
    <w:p w14:paraId="6E4D9239" w14:textId="2E9D4F79" w:rsidR="0088256F" w:rsidRDefault="0088256F" w:rsidP="00B74F09">
      <w:pPr>
        <w:pStyle w:val="Prrafodelista"/>
        <w:numPr>
          <w:ilvl w:val="0"/>
          <w:numId w:val="18"/>
        </w:numPr>
      </w:pPr>
      <w:r>
        <w:t>Si un encuentro se suspende una vez que los árbitros se encuentran en el terreno de juego, haya comenzado o no el encuentro, se abonarán los gastos de desplazamiento, gastos de alojamiento y dietas por manutención que procedan.</w:t>
      </w:r>
    </w:p>
    <w:p w14:paraId="2601D37F" w14:textId="047E1153" w:rsidR="00137CE4" w:rsidRDefault="00137CE4" w:rsidP="00720171">
      <w:pPr>
        <w:pStyle w:val="Prrafodelista"/>
        <w:numPr>
          <w:ilvl w:val="0"/>
          <w:numId w:val="18"/>
        </w:numPr>
      </w:pPr>
      <w:r w:rsidRPr="00137CE4">
        <w:rPr>
          <w:bCs/>
          <w:iCs/>
        </w:rPr>
        <w:t>Siempre</w:t>
      </w:r>
      <w:r w:rsidRPr="00137CE4">
        <w:t xml:space="preserve"> se</w:t>
      </w:r>
      <w:r>
        <w:t xml:space="preserve"> priorizará la participación de los árbitros pertenecientes a la Asociación Territorial donde se realice el </w:t>
      </w:r>
      <w:r w:rsidR="00D7469B">
        <w:t>torneo</w:t>
      </w:r>
      <w:r>
        <w:t xml:space="preserve">, así como la gestión arbitral del </w:t>
      </w:r>
      <w:r w:rsidR="00D7469B">
        <w:t>torneo</w:t>
      </w:r>
      <w:r>
        <w:t xml:space="preserve"> desde dicha Asociación, cumpliendo los requisitos definidos por el Comité Arbitral.</w:t>
      </w:r>
    </w:p>
    <w:p w14:paraId="728340A0" w14:textId="77777777" w:rsidR="00FA3DD4" w:rsidRPr="00411253" w:rsidRDefault="00FA3DD4" w:rsidP="00FA3DD4">
      <w:pPr>
        <w:numPr>
          <w:ilvl w:val="0"/>
          <w:numId w:val="18"/>
        </w:numPr>
        <w:pBdr>
          <w:top w:val="nil"/>
          <w:left w:val="nil"/>
          <w:bottom w:val="nil"/>
          <w:right w:val="nil"/>
          <w:between w:val="nil"/>
        </w:pBdr>
        <w:spacing w:after="0"/>
      </w:pPr>
      <w:r>
        <w:rPr>
          <w:color w:val="000000"/>
        </w:rPr>
        <w:t xml:space="preserve">Para que un torneo se considere </w:t>
      </w:r>
      <w:r>
        <w:rPr>
          <w:rFonts w:ascii="Calibri" w:eastAsia="Calibri" w:hAnsi="Calibri" w:cs="Calibri"/>
          <w:b/>
          <w:color w:val="000000"/>
        </w:rPr>
        <w:t>Sancionado</w:t>
      </w:r>
      <w:r>
        <w:rPr>
          <w:color w:val="000000"/>
        </w:rPr>
        <w:t xml:space="preserve"> oficialmente:</w:t>
      </w:r>
    </w:p>
    <w:p w14:paraId="305323ED" w14:textId="77777777" w:rsidR="00FA3DD4" w:rsidRPr="00411253" w:rsidRDefault="00FA3DD4" w:rsidP="00FA3DD4">
      <w:pPr>
        <w:numPr>
          <w:ilvl w:val="1"/>
          <w:numId w:val="18"/>
        </w:numPr>
        <w:pBdr>
          <w:top w:val="nil"/>
          <w:left w:val="nil"/>
          <w:bottom w:val="nil"/>
          <w:right w:val="nil"/>
          <w:between w:val="nil"/>
        </w:pBdr>
        <w:spacing w:after="0"/>
      </w:pPr>
      <w:r>
        <w:rPr>
          <w:color w:val="000000"/>
        </w:rPr>
        <w:t>Los árbitros que participen deben estar en posesión de la Licencia Arbitral que les habilite a sancionar el torneo.</w:t>
      </w:r>
    </w:p>
    <w:p w14:paraId="009600DC" w14:textId="77777777" w:rsidR="00FA3DD4" w:rsidRPr="00DB58A1" w:rsidRDefault="00FA3DD4" w:rsidP="00FA3DD4">
      <w:pPr>
        <w:numPr>
          <w:ilvl w:val="1"/>
          <w:numId w:val="18"/>
        </w:numPr>
        <w:pBdr>
          <w:top w:val="nil"/>
          <w:left w:val="nil"/>
          <w:bottom w:val="nil"/>
          <w:right w:val="nil"/>
          <w:between w:val="nil"/>
        </w:pBdr>
        <w:spacing w:after="0"/>
      </w:pPr>
      <w:r>
        <w:rPr>
          <w:color w:val="000000"/>
        </w:rPr>
        <w:t>Dependiendo del torneo se establecen los siguientes mínimos de cobertura arbitral:</w:t>
      </w:r>
    </w:p>
    <w:tbl>
      <w:tblPr>
        <w:tblStyle w:val="Tablaconcuadrcula"/>
        <w:tblW w:w="0" w:type="auto"/>
        <w:tblInd w:w="1132" w:type="dxa"/>
        <w:tblLook w:val="04A0" w:firstRow="1" w:lastRow="0" w:firstColumn="1" w:lastColumn="0" w:noHBand="0" w:noVBand="1"/>
      </w:tblPr>
      <w:tblGrid>
        <w:gridCol w:w="1668"/>
        <w:gridCol w:w="2126"/>
        <w:gridCol w:w="2537"/>
        <w:gridCol w:w="2282"/>
      </w:tblGrid>
      <w:tr w:rsidR="00FA3DD4" w14:paraId="1EF97A6C" w14:textId="77777777" w:rsidTr="00B37096">
        <w:tc>
          <w:tcPr>
            <w:tcW w:w="1668" w:type="dxa"/>
          </w:tcPr>
          <w:p w14:paraId="15ABAF86" w14:textId="77777777" w:rsidR="00FA3DD4" w:rsidRDefault="00FA3DD4" w:rsidP="00B37096">
            <w:r>
              <w:t>Ámbito \ Nivel</w:t>
            </w:r>
          </w:p>
        </w:tc>
        <w:tc>
          <w:tcPr>
            <w:tcW w:w="2126" w:type="dxa"/>
          </w:tcPr>
          <w:p w14:paraId="7679529D" w14:textId="77777777" w:rsidR="00FA3DD4" w:rsidRDefault="00FA3DD4" w:rsidP="00B37096">
            <w:r>
              <w:t>Final y ½ Final</w:t>
            </w:r>
          </w:p>
        </w:tc>
        <w:tc>
          <w:tcPr>
            <w:tcW w:w="2537" w:type="dxa"/>
          </w:tcPr>
          <w:p w14:paraId="27633973" w14:textId="77777777" w:rsidR="00FA3DD4" w:rsidRDefault="00FA3DD4" w:rsidP="00B37096">
            <w:r>
              <w:t>Cuadro Final</w:t>
            </w:r>
          </w:p>
        </w:tc>
        <w:tc>
          <w:tcPr>
            <w:tcW w:w="2282" w:type="dxa"/>
          </w:tcPr>
          <w:p w14:paraId="249FBBEF" w14:textId="77777777" w:rsidR="00FA3DD4" w:rsidRDefault="00FA3DD4" w:rsidP="00B37096">
            <w:r>
              <w:t>Fase Previa</w:t>
            </w:r>
          </w:p>
        </w:tc>
      </w:tr>
      <w:tr w:rsidR="00FA3DD4" w14:paraId="04411368" w14:textId="77777777" w:rsidTr="00B37096">
        <w:tc>
          <w:tcPr>
            <w:tcW w:w="1668" w:type="dxa"/>
          </w:tcPr>
          <w:p w14:paraId="63DA365B" w14:textId="77777777" w:rsidR="00FA3DD4" w:rsidRDefault="00FA3DD4" w:rsidP="00B37096">
            <w:r>
              <w:t>Internacional</w:t>
            </w:r>
          </w:p>
        </w:tc>
        <w:tc>
          <w:tcPr>
            <w:tcW w:w="2126" w:type="dxa"/>
          </w:tcPr>
          <w:p w14:paraId="456438F2" w14:textId="77777777" w:rsidR="00FA3DD4" w:rsidRDefault="00FA3DD4" w:rsidP="00B37096">
            <w:r>
              <w:t>Obligatorio</w:t>
            </w:r>
          </w:p>
        </w:tc>
        <w:tc>
          <w:tcPr>
            <w:tcW w:w="2537" w:type="dxa"/>
          </w:tcPr>
          <w:p w14:paraId="30E9675E" w14:textId="77777777" w:rsidR="00FA3DD4" w:rsidRDefault="00FA3DD4" w:rsidP="00B37096">
            <w:r>
              <w:t>Recomendado</w:t>
            </w:r>
          </w:p>
        </w:tc>
        <w:tc>
          <w:tcPr>
            <w:tcW w:w="2282" w:type="dxa"/>
          </w:tcPr>
          <w:p w14:paraId="052F579F" w14:textId="77777777" w:rsidR="00FA3DD4" w:rsidRDefault="00FA3DD4" w:rsidP="00B37096">
            <w:r>
              <w:t>Voluntario a discreción</w:t>
            </w:r>
          </w:p>
        </w:tc>
      </w:tr>
      <w:tr w:rsidR="00FA3DD4" w14:paraId="662BB400" w14:textId="77777777" w:rsidTr="00B37096">
        <w:tc>
          <w:tcPr>
            <w:tcW w:w="1668" w:type="dxa"/>
          </w:tcPr>
          <w:p w14:paraId="4F922970" w14:textId="77777777" w:rsidR="00FA3DD4" w:rsidRDefault="00FA3DD4" w:rsidP="00B37096">
            <w:r>
              <w:t>Nacional</w:t>
            </w:r>
          </w:p>
        </w:tc>
        <w:tc>
          <w:tcPr>
            <w:tcW w:w="2126" w:type="dxa"/>
          </w:tcPr>
          <w:p w14:paraId="354C916B" w14:textId="77777777" w:rsidR="00FA3DD4" w:rsidRDefault="00FA3DD4" w:rsidP="00B37096">
            <w:r>
              <w:t>Obligatorio</w:t>
            </w:r>
          </w:p>
        </w:tc>
        <w:tc>
          <w:tcPr>
            <w:tcW w:w="2537" w:type="dxa"/>
          </w:tcPr>
          <w:p w14:paraId="557386A5" w14:textId="77777777" w:rsidR="00FA3DD4" w:rsidRDefault="00FA3DD4" w:rsidP="00B37096">
            <w:r>
              <w:t>Recomendado</w:t>
            </w:r>
          </w:p>
        </w:tc>
        <w:tc>
          <w:tcPr>
            <w:tcW w:w="2282" w:type="dxa"/>
          </w:tcPr>
          <w:p w14:paraId="4C013A70" w14:textId="77777777" w:rsidR="00FA3DD4" w:rsidRDefault="00FA3DD4" w:rsidP="00B37096">
            <w:r>
              <w:t>Voluntario a discreción</w:t>
            </w:r>
          </w:p>
        </w:tc>
      </w:tr>
      <w:tr w:rsidR="00FA3DD4" w14:paraId="0C5B65A5" w14:textId="77777777" w:rsidTr="00B37096">
        <w:tc>
          <w:tcPr>
            <w:tcW w:w="1668" w:type="dxa"/>
          </w:tcPr>
          <w:p w14:paraId="35A5519F" w14:textId="77777777" w:rsidR="00FA3DD4" w:rsidRDefault="00FA3DD4" w:rsidP="00B37096">
            <w:r>
              <w:t>Territorial</w:t>
            </w:r>
          </w:p>
        </w:tc>
        <w:tc>
          <w:tcPr>
            <w:tcW w:w="2126" w:type="dxa"/>
          </w:tcPr>
          <w:p w14:paraId="223910A3" w14:textId="77777777" w:rsidR="00FA3DD4" w:rsidRDefault="00FA3DD4" w:rsidP="00B37096">
            <w:r>
              <w:t>Obligatorio</w:t>
            </w:r>
          </w:p>
        </w:tc>
        <w:tc>
          <w:tcPr>
            <w:tcW w:w="2537" w:type="dxa"/>
          </w:tcPr>
          <w:p w14:paraId="024008D2" w14:textId="77777777" w:rsidR="00FA3DD4" w:rsidRDefault="00FA3DD4" w:rsidP="00B37096">
            <w:r>
              <w:t>Voluntario a discreción</w:t>
            </w:r>
          </w:p>
        </w:tc>
        <w:tc>
          <w:tcPr>
            <w:tcW w:w="2282" w:type="dxa"/>
          </w:tcPr>
          <w:p w14:paraId="6D9F1E54" w14:textId="77777777" w:rsidR="00FA3DD4" w:rsidRDefault="00FA3DD4" w:rsidP="00B37096"/>
        </w:tc>
      </w:tr>
      <w:tr w:rsidR="00FA3DD4" w14:paraId="528F5272" w14:textId="77777777" w:rsidTr="00B37096">
        <w:tc>
          <w:tcPr>
            <w:tcW w:w="1668" w:type="dxa"/>
          </w:tcPr>
          <w:p w14:paraId="29572F5A" w14:textId="77777777" w:rsidR="00FA3DD4" w:rsidRDefault="00FA3DD4" w:rsidP="00B37096">
            <w:r>
              <w:t>Local</w:t>
            </w:r>
          </w:p>
        </w:tc>
        <w:tc>
          <w:tcPr>
            <w:tcW w:w="2126" w:type="dxa"/>
          </w:tcPr>
          <w:p w14:paraId="10C06352" w14:textId="77777777" w:rsidR="00FA3DD4" w:rsidRDefault="00FA3DD4" w:rsidP="00B37096">
            <w:r>
              <w:t>Obligatorio</w:t>
            </w:r>
          </w:p>
        </w:tc>
        <w:tc>
          <w:tcPr>
            <w:tcW w:w="2537" w:type="dxa"/>
          </w:tcPr>
          <w:p w14:paraId="3FAEE92D" w14:textId="77777777" w:rsidR="00FA3DD4" w:rsidRDefault="00FA3DD4" w:rsidP="00B37096">
            <w:r>
              <w:t>Voluntario a discreción</w:t>
            </w:r>
          </w:p>
        </w:tc>
        <w:tc>
          <w:tcPr>
            <w:tcW w:w="2282" w:type="dxa"/>
          </w:tcPr>
          <w:p w14:paraId="34343984" w14:textId="77777777" w:rsidR="00FA3DD4" w:rsidRDefault="00FA3DD4" w:rsidP="00B37096"/>
        </w:tc>
      </w:tr>
    </w:tbl>
    <w:p w14:paraId="5F5AC2EB" w14:textId="77777777" w:rsidR="00FA3DD4" w:rsidRPr="00DB58A1" w:rsidRDefault="00FA3DD4" w:rsidP="00FA3DD4">
      <w:pPr>
        <w:numPr>
          <w:ilvl w:val="1"/>
          <w:numId w:val="18"/>
        </w:numPr>
        <w:pBdr>
          <w:top w:val="nil"/>
          <w:left w:val="nil"/>
          <w:bottom w:val="nil"/>
          <w:right w:val="nil"/>
          <w:between w:val="nil"/>
        </w:pBdr>
        <w:spacing w:after="0"/>
      </w:pPr>
      <w:r>
        <w:rPr>
          <w:color w:val="000000"/>
        </w:rPr>
        <w:lastRenderedPageBreak/>
        <w:t>Una vez recibidos los resultados del torneo sancionado, el comité certificará la condición de sancionado del torneo.</w:t>
      </w:r>
    </w:p>
    <w:p w14:paraId="3CCF59CE" w14:textId="7FD0EA38" w:rsidR="00FA3DD4" w:rsidRPr="00411253" w:rsidRDefault="00FA3DD4" w:rsidP="00FA3DD4">
      <w:pPr>
        <w:numPr>
          <w:ilvl w:val="1"/>
          <w:numId w:val="18"/>
        </w:numPr>
        <w:pBdr>
          <w:top w:val="nil"/>
          <w:left w:val="nil"/>
          <w:bottom w:val="nil"/>
          <w:right w:val="nil"/>
          <w:between w:val="nil"/>
        </w:pBdr>
        <w:spacing w:after="0"/>
      </w:pPr>
      <w:r>
        <w:rPr>
          <w:color w:val="000000"/>
        </w:rPr>
        <w:t>Así mismo, y si así se solicita, se podrán certificar partidos sancionados individualmente.</w:t>
      </w:r>
    </w:p>
    <w:p w14:paraId="7377C303" w14:textId="736B44C9" w:rsidR="003053DB" w:rsidRDefault="00137CE4" w:rsidP="00720171">
      <w:pPr>
        <w:pStyle w:val="Prrafodelista"/>
        <w:numPr>
          <w:ilvl w:val="0"/>
          <w:numId w:val="18"/>
        </w:numPr>
      </w:pPr>
      <w:r>
        <w:t xml:space="preserve">Los partidos que se disputen </w:t>
      </w:r>
      <w:r w:rsidR="003053DB">
        <w:t xml:space="preserve">fuera de un torneo </w:t>
      </w:r>
      <w:r>
        <w:t>s</w:t>
      </w:r>
      <w:r w:rsidR="003053DB" w:rsidRPr="00137CE4">
        <w:rPr>
          <w:bCs/>
          <w:iCs/>
        </w:rPr>
        <w:t>ancionado</w:t>
      </w:r>
      <w:r w:rsidR="003053DB">
        <w:t xml:space="preserve">, </w:t>
      </w:r>
      <w:r>
        <w:t xml:space="preserve">no podrá </w:t>
      </w:r>
      <w:r w:rsidR="003053DB">
        <w:t xml:space="preserve">ser registrado como </w:t>
      </w:r>
      <w:r>
        <w:t>s</w:t>
      </w:r>
      <w:r w:rsidRPr="00137CE4">
        <w:rPr>
          <w:bCs/>
          <w:iCs/>
        </w:rPr>
        <w:t>ancionado</w:t>
      </w:r>
      <w:r w:rsidR="003053DB">
        <w:t>.</w:t>
      </w:r>
    </w:p>
    <w:p w14:paraId="2D0D6562" w14:textId="56D86DB6" w:rsidR="008E0D8D" w:rsidRDefault="008E0D8D" w:rsidP="0088256F">
      <w:pPr>
        <w:pStyle w:val="Ttulo2"/>
      </w:pPr>
      <w:bookmarkStart w:id="5" w:name="_Toc145349440"/>
      <w:r w:rsidRPr="0088256F">
        <w:t>Derechos</w:t>
      </w:r>
      <w:r>
        <w:t xml:space="preserve"> de Arbitraje</w:t>
      </w:r>
      <w:bookmarkEnd w:id="5"/>
    </w:p>
    <w:p w14:paraId="2ED412E3" w14:textId="6A3322CE" w:rsidR="008E0D8D" w:rsidRDefault="00C24B5B" w:rsidP="008E0D8D">
      <w:pPr>
        <w:pStyle w:val="Prrafodelista"/>
        <w:numPr>
          <w:ilvl w:val="0"/>
          <w:numId w:val="18"/>
        </w:numPr>
      </w:pPr>
      <w:r>
        <w:t>E</w:t>
      </w:r>
      <w:r w:rsidR="008E0D8D">
        <w:t xml:space="preserve">n función del </w:t>
      </w:r>
      <w:r w:rsidR="00D87B9F">
        <w:t xml:space="preserve">ámbito </w:t>
      </w:r>
      <w:r w:rsidR="008E0D8D">
        <w:t>de la competición y del nivel de los árbitros</w:t>
      </w:r>
      <w:r w:rsidR="00BB217A">
        <w:t xml:space="preserve"> los derechos por sesión</w:t>
      </w:r>
      <w:r w:rsidR="00B77F86">
        <w:t xml:space="preserve"> (3 horas máximo)</w:t>
      </w:r>
      <w:r w:rsidR="00BB217A">
        <w:t xml:space="preserve"> son</w:t>
      </w:r>
      <w:r>
        <w:t>:</w:t>
      </w:r>
    </w:p>
    <w:tbl>
      <w:tblPr>
        <w:tblStyle w:val="Tablaconcuadrcula"/>
        <w:tblW w:w="0" w:type="auto"/>
        <w:tblLook w:val="04A0" w:firstRow="1" w:lastRow="0" w:firstColumn="1" w:lastColumn="0" w:noHBand="0" w:noVBand="1"/>
      </w:tblPr>
      <w:tblGrid>
        <w:gridCol w:w="1668"/>
        <w:gridCol w:w="2126"/>
        <w:gridCol w:w="2537"/>
        <w:gridCol w:w="2282"/>
      </w:tblGrid>
      <w:tr w:rsidR="00BB217A" w14:paraId="5B8B14E6" w14:textId="29F5FE0C" w:rsidTr="00B77F86">
        <w:tc>
          <w:tcPr>
            <w:tcW w:w="1668" w:type="dxa"/>
          </w:tcPr>
          <w:p w14:paraId="1971E4AC" w14:textId="2FDE492D" w:rsidR="00BB217A" w:rsidRDefault="00BB217A" w:rsidP="00D87B9F">
            <w:r>
              <w:t>Ámbito \ Nivel</w:t>
            </w:r>
          </w:p>
        </w:tc>
        <w:tc>
          <w:tcPr>
            <w:tcW w:w="2126" w:type="dxa"/>
          </w:tcPr>
          <w:p w14:paraId="54BC9DD3" w14:textId="211606AB" w:rsidR="00BB217A" w:rsidRDefault="00BB217A" w:rsidP="00D94911">
            <w:r>
              <w:t>Nivel_</w:t>
            </w:r>
            <w:r w:rsidR="00D94911">
              <w:t>1</w:t>
            </w:r>
          </w:p>
        </w:tc>
        <w:tc>
          <w:tcPr>
            <w:tcW w:w="2537" w:type="dxa"/>
          </w:tcPr>
          <w:p w14:paraId="415E590D" w14:textId="621459FB" w:rsidR="00BB217A" w:rsidRDefault="00BB217A" w:rsidP="00D94911">
            <w:r>
              <w:t>Nivel_</w:t>
            </w:r>
            <w:r w:rsidR="00D94911">
              <w:t>2</w:t>
            </w:r>
          </w:p>
        </w:tc>
        <w:tc>
          <w:tcPr>
            <w:tcW w:w="2282" w:type="dxa"/>
          </w:tcPr>
          <w:p w14:paraId="5D1FD50B" w14:textId="7DE33F3B" w:rsidR="00BB217A" w:rsidRDefault="00BB217A" w:rsidP="00C24B5B">
            <w:r>
              <w:t>Juez Árbitro</w:t>
            </w:r>
          </w:p>
        </w:tc>
      </w:tr>
      <w:tr w:rsidR="00BB217A" w14:paraId="0E6C7127" w14:textId="293CFA2A" w:rsidTr="00B77F86">
        <w:tc>
          <w:tcPr>
            <w:tcW w:w="1668" w:type="dxa"/>
          </w:tcPr>
          <w:p w14:paraId="01AD98D8" w14:textId="6DD925A5" w:rsidR="00BB217A" w:rsidRDefault="00BB217A" w:rsidP="00C24B5B">
            <w:r>
              <w:t>Internacional</w:t>
            </w:r>
          </w:p>
        </w:tc>
        <w:tc>
          <w:tcPr>
            <w:tcW w:w="2126" w:type="dxa"/>
          </w:tcPr>
          <w:p w14:paraId="01DAB0A3" w14:textId="43CDF490" w:rsidR="00BB217A" w:rsidRDefault="00BB217A" w:rsidP="00C24B5B">
            <w:r>
              <w:t>30€/sesión</w:t>
            </w:r>
            <w:r w:rsidR="00B77F86">
              <w:t xml:space="preserve"> 3h</w:t>
            </w:r>
            <w:r w:rsidR="00A2146D">
              <w:t xml:space="preserve"> + 15€ cada hora extra</w:t>
            </w:r>
          </w:p>
        </w:tc>
        <w:tc>
          <w:tcPr>
            <w:tcW w:w="2537" w:type="dxa"/>
          </w:tcPr>
          <w:p w14:paraId="7BCD4F69" w14:textId="4D865995" w:rsidR="00BB217A" w:rsidRDefault="00BB217A" w:rsidP="00A2146D">
            <w:r>
              <w:t>40€/</w:t>
            </w:r>
            <w:r w:rsidR="00B77F86">
              <w:t xml:space="preserve"> sesión 3h</w:t>
            </w:r>
            <w:r w:rsidR="00A2146D">
              <w:t xml:space="preserve"> + 20€  cada hora extra</w:t>
            </w:r>
          </w:p>
        </w:tc>
        <w:tc>
          <w:tcPr>
            <w:tcW w:w="2282" w:type="dxa"/>
          </w:tcPr>
          <w:p w14:paraId="2355D7B4" w14:textId="24A47818" w:rsidR="00BB217A" w:rsidRDefault="00BB217A" w:rsidP="00A2146D">
            <w:r>
              <w:t>60€/</w:t>
            </w:r>
            <w:r w:rsidR="00B77F86">
              <w:t xml:space="preserve"> sesión 3h</w:t>
            </w:r>
            <w:r w:rsidR="00A2146D">
              <w:t xml:space="preserve"> + 25€ cada hora extra</w:t>
            </w:r>
          </w:p>
        </w:tc>
      </w:tr>
      <w:tr w:rsidR="00BB217A" w14:paraId="3C383199" w14:textId="2F40E1F1" w:rsidTr="00B77F86">
        <w:tc>
          <w:tcPr>
            <w:tcW w:w="1668" w:type="dxa"/>
          </w:tcPr>
          <w:p w14:paraId="13F3E07A" w14:textId="12BC53BD" w:rsidR="00BB217A" w:rsidRDefault="00BB217A" w:rsidP="00C24B5B">
            <w:r>
              <w:t>Nacional</w:t>
            </w:r>
          </w:p>
        </w:tc>
        <w:tc>
          <w:tcPr>
            <w:tcW w:w="2126" w:type="dxa"/>
          </w:tcPr>
          <w:p w14:paraId="0DF75B47" w14:textId="14D8026F" w:rsidR="00BB217A" w:rsidRDefault="00BB217A" w:rsidP="00C24B5B">
            <w:r>
              <w:t>25€/</w:t>
            </w:r>
            <w:r w:rsidR="00B77F86">
              <w:t xml:space="preserve"> sesión 3h</w:t>
            </w:r>
            <w:r w:rsidR="00A2146D">
              <w:t xml:space="preserve"> + 15€ cada hora extra</w:t>
            </w:r>
          </w:p>
        </w:tc>
        <w:tc>
          <w:tcPr>
            <w:tcW w:w="2537" w:type="dxa"/>
          </w:tcPr>
          <w:p w14:paraId="65756AB0" w14:textId="137ACFB0" w:rsidR="00BB217A" w:rsidRDefault="00BB217A" w:rsidP="00A2146D">
            <w:r>
              <w:t>35€/</w:t>
            </w:r>
            <w:r w:rsidR="00B77F86">
              <w:t xml:space="preserve"> sesión 3h</w:t>
            </w:r>
            <w:r w:rsidR="00A2146D">
              <w:t xml:space="preserve"> + 20€ cada hora extra</w:t>
            </w:r>
          </w:p>
        </w:tc>
        <w:tc>
          <w:tcPr>
            <w:tcW w:w="2282" w:type="dxa"/>
          </w:tcPr>
          <w:p w14:paraId="6728B450" w14:textId="1A4EE6CC" w:rsidR="00BB217A" w:rsidRDefault="00BB217A" w:rsidP="00A2146D">
            <w:r>
              <w:t>50€/</w:t>
            </w:r>
            <w:r w:rsidR="00B77F86">
              <w:t xml:space="preserve"> sesión 3h</w:t>
            </w:r>
            <w:r w:rsidR="00A2146D">
              <w:t xml:space="preserve"> + 25€ cada hora extra</w:t>
            </w:r>
          </w:p>
        </w:tc>
      </w:tr>
      <w:tr w:rsidR="00BB217A" w14:paraId="6A87675D" w14:textId="1F9A5222" w:rsidTr="00B77F86">
        <w:tc>
          <w:tcPr>
            <w:tcW w:w="1668" w:type="dxa"/>
          </w:tcPr>
          <w:p w14:paraId="02B99D91" w14:textId="2B4AD5FB" w:rsidR="00BB217A" w:rsidRDefault="00BB217A" w:rsidP="00D87B9F">
            <w:r>
              <w:t>Territorial</w:t>
            </w:r>
          </w:p>
        </w:tc>
        <w:tc>
          <w:tcPr>
            <w:tcW w:w="2126" w:type="dxa"/>
          </w:tcPr>
          <w:p w14:paraId="25DE7A00" w14:textId="43E45BCC" w:rsidR="00BB217A" w:rsidRDefault="00BB217A" w:rsidP="00A2146D">
            <w:r>
              <w:t>20€/</w:t>
            </w:r>
            <w:r w:rsidR="00B77F86">
              <w:t xml:space="preserve"> sesión 3h</w:t>
            </w:r>
            <w:r w:rsidR="00A2146D">
              <w:t xml:space="preserve"> + 10€ cada hora extra</w:t>
            </w:r>
          </w:p>
        </w:tc>
        <w:tc>
          <w:tcPr>
            <w:tcW w:w="2537" w:type="dxa"/>
          </w:tcPr>
          <w:p w14:paraId="62FB1FED" w14:textId="5A2F743E" w:rsidR="00BB217A" w:rsidRDefault="00BB217A" w:rsidP="00A2146D">
            <w:r>
              <w:t>30€/</w:t>
            </w:r>
            <w:r w:rsidR="00B77F86">
              <w:t xml:space="preserve"> sesión 3h</w:t>
            </w:r>
            <w:r w:rsidR="00A2146D">
              <w:t xml:space="preserve"> + 15€ cada hora extra</w:t>
            </w:r>
          </w:p>
        </w:tc>
        <w:tc>
          <w:tcPr>
            <w:tcW w:w="2282" w:type="dxa"/>
          </w:tcPr>
          <w:p w14:paraId="7E4D997F" w14:textId="2D153A09" w:rsidR="00BB217A" w:rsidRDefault="00BB217A" w:rsidP="00A2146D">
            <w:r>
              <w:t>40€/</w:t>
            </w:r>
            <w:r w:rsidR="00B77F86">
              <w:t xml:space="preserve"> sesión 3h</w:t>
            </w:r>
            <w:r w:rsidR="00A2146D">
              <w:t xml:space="preserve"> + 15€ cada hora extra</w:t>
            </w:r>
          </w:p>
        </w:tc>
      </w:tr>
      <w:tr w:rsidR="00BB217A" w14:paraId="7D857ECF" w14:textId="0206915B" w:rsidTr="00B77F86">
        <w:tc>
          <w:tcPr>
            <w:tcW w:w="1668" w:type="dxa"/>
          </w:tcPr>
          <w:p w14:paraId="38E6C6EF" w14:textId="7F928EAC" w:rsidR="00BB217A" w:rsidRDefault="00BB217A" w:rsidP="00BB217A">
            <w:r>
              <w:t>Local</w:t>
            </w:r>
          </w:p>
        </w:tc>
        <w:tc>
          <w:tcPr>
            <w:tcW w:w="2126" w:type="dxa"/>
          </w:tcPr>
          <w:p w14:paraId="086A7DFE" w14:textId="6611C587" w:rsidR="00BB217A" w:rsidRDefault="00BB217A" w:rsidP="00A2146D">
            <w:r>
              <w:t>15€/</w:t>
            </w:r>
            <w:r w:rsidR="00B77F86">
              <w:t xml:space="preserve"> sesión 3h</w:t>
            </w:r>
            <w:r w:rsidR="00A2146D">
              <w:t xml:space="preserve"> + 10€ cada hora extra</w:t>
            </w:r>
          </w:p>
        </w:tc>
        <w:tc>
          <w:tcPr>
            <w:tcW w:w="2537" w:type="dxa"/>
          </w:tcPr>
          <w:p w14:paraId="78703177" w14:textId="20E23842" w:rsidR="00BB217A" w:rsidRDefault="00BB217A" w:rsidP="00A2146D">
            <w:r>
              <w:t>20€/</w:t>
            </w:r>
            <w:r w:rsidR="00B77F86">
              <w:t xml:space="preserve"> sesión </w:t>
            </w:r>
            <w:r w:rsidR="00A2146D">
              <w:t>3h + 15€ cada hora extra</w:t>
            </w:r>
          </w:p>
        </w:tc>
        <w:tc>
          <w:tcPr>
            <w:tcW w:w="2282" w:type="dxa"/>
          </w:tcPr>
          <w:p w14:paraId="5102F90B" w14:textId="5DCD2871" w:rsidR="00BB217A" w:rsidRDefault="00BB217A" w:rsidP="00A2146D">
            <w:r>
              <w:t>30€/</w:t>
            </w:r>
            <w:r w:rsidR="00B77F86">
              <w:t xml:space="preserve"> sesión </w:t>
            </w:r>
            <w:r w:rsidR="00A2146D">
              <w:t>3h + 15€ cada hora extra</w:t>
            </w:r>
          </w:p>
        </w:tc>
      </w:tr>
    </w:tbl>
    <w:p w14:paraId="3EBB549E" w14:textId="0BB794AB" w:rsidR="00C24B5B" w:rsidRDefault="00C24B5B" w:rsidP="00C24B5B"/>
    <w:p w14:paraId="1CCF1B6C" w14:textId="2BB5B701" w:rsidR="00BB217A" w:rsidRDefault="00BB217A" w:rsidP="00C24B5B">
      <w:r>
        <w:t>Para las competiciones territoriales y locales</w:t>
      </w:r>
      <w:r w:rsidR="00B77F86">
        <w:t xml:space="preserve"> se establece opciones por partidos o 1 hora:</w:t>
      </w:r>
    </w:p>
    <w:tbl>
      <w:tblPr>
        <w:tblStyle w:val="Tablaconcuadrcula"/>
        <w:tblW w:w="0" w:type="auto"/>
        <w:tblLook w:val="04A0" w:firstRow="1" w:lastRow="0" w:firstColumn="1" w:lastColumn="0" w:noHBand="0" w:noVBand="1"/>
      </w:tblPr>
      <w:tblGrid>
        <w:gridCol w:w="1668"/>
        <w:gridCol w:w="2126"/>
        <w:gridCol w:w="2537"/>
        <w:gridCol w:w="1632"/>
      </w:tblGrid>
      <w:tr w:rsidR="00BB217A" w14:paraId="7E127056" w14:textId="77777777" w:rsidTr="00B77F86">
        <w:tc>
          <w:tcPr>
            <w:tcW w:w="1668" w:type="dxa"/>
          </w:tcPr>
          <w:p w14:paraId="6B2FABDA" w14:textId="77777777" w:rsidR="00BB217A" w:rsidRDefault="00BB217A" w:rsidP="0023120A">
            <w:r>
              <w:t>Ámbito \ Nivel</w:t>
            </w:r>
          </w:p>
        </w:tc>
        <w:tc>
          <w:tcPr>
            <w:tcW w:w="2126" w:type="dxa"/>
          </w:tcPr>
          <w:p w14:paraId="1EE0C11C" w14:textId="001B8DDC" w:rsidR="00BB217A" w:rsidRDefault="00BB217A" w:rsidP="00D94911">
            <w:r>
              <w:t>Nivel_</w:t>
            </w:r>
            <w:r w:rsidR="00D94911">
              <w:t>1</w:t>
            </w:r>
          </w:p>
        </w:tc>
        <w:tc>
          <w:tcPr>
            <w:tcW w:w="2537" w:type="dxa"/>
          </w:tcPr>
          <w:p w14:paraId="2F5D0CD7" w14:textId="6BBB5152" w:rsidR="00BB217A" w:rsidRDefault="00BB217A" w:rsidP="00D94911">
            <w:r>
              <w:t>Nivel_</w:t>
            </w:r>
            <w:r w:rsidR="00D94911">
              <w:t>2</w:t>
            </w:r>
          </w:p>
        </w:tc>
        <w:tc>
          <w:tcPr>
            <w:tcW w:w="1632" w:type="dxa"/>
          </w:tcPr>
          <w:p w14:paraId="1FC25A64" w14:textId="77777777" w:rsidR="00BB217A" w:rsidRDefault="00BB217A" w:rsidP="0023120A">
            <w:r>
              <w:t>Juez Árbitro</w:t>
            </w:r>
          </w:p>
        </w:tc>
      </w:tr>
      <w:tr w:rsidR="00B77F86" w14:paraId="39BC3C62" w14:textId="77777777" w:rsidTr="00B77F86">
        <w:tc>
          <w:tcPr>
            <w:tcW w:w="1668" w:type="dxa"/>
          </w:tcPr>
          <w:p w14:paraId="246C946C" w14:textId="1830D91A" w:rsidR="00B77F86" w:rsidRDefault="00B77F86" w:rsidP="0023120A">
            <w:r>
              <w:t>Territorial</w:t>
            </w:r>
          </w:p>
        </w:tc>
        <w:tc>
          <w:tcPr>
            <w:tcW w:w="2126" w:type="dxa"/>
          </w:tcPr>
          <w:p w14:paraId="1251FFEC" w14:textId="37F145E3" w:rsidR="00B77F86" w:rsidRDefault="00A2146D" w:rsidP="0023120A">
            <w:r>
              <w:t>7</w:t>
            </w:r>
            <w:r w:rsidR="00B77F86">
              <w:t>€/partido (mínimo 2 partidos; máximo 2 horas) o</w:t>
            </w:r>
          </w:p>
          <w:p w14:paraId="7486AC67" w14:textId="7061D273" w:rsidR="00B77F86" w:rsidRDefault="00A2146D" w:rsidP="0023120A">
            <w:r>
              <w:t>10</w:t>
            </w:r>
            <w:r w:rsidR="00B77F86">
              <w:t>€ / 1 hora</w:t>
            </w:r>
          </w:p>
        </w:tc>
        <w:tc>
          <w:tcPr>
            <w:tcW w:w="2537" w:type="dxa"/>
          </w:tcPr>
          <w:p w14:paraId="4F50F4DA" w14:textId="741163FC" w:rsidR="00B77F86" w:rsidRDefault="00A2146D" w:rsidP="0023120A">
            <w:r>
              <w:t>10</w:t>
            </w:r>
            <w:r w:rsidR="00B77F86">
              <w:t xml:space="preserve">€/partido (mínimo </w:t>
            </w:r>
          </w:p>
          <w:p w14:paraId="67CD57CE" w14:textId="233F529C" w:rsidR="00B77F86" w:rsidRDefault="00B77F86" w:rsidP="0023120A">
            <w:r>
              <w:t>2 partidos; máximo 2 horas) o</w:t>
            </w:r>
          </w:p>
          <w:p w14:paraId="6D90DBF5" w14:textId="65D997C2" w:rsidR="00B77F86" w:rsidRDefault="00A2146D" w:rsidP="00A2146D">
            <w:r>
              <w:t>20</w:t>
            </w:r>
            <w:r w:rsidR="00B77F86">
              <w:t>€ / 1 hora</w:t>
            </w:r>
          </w:p>
        </w:tc>
        <w:tc>
          <w:tcPr>
            <w:tcW w:w="1632" w:type="dxa"/>
          </w:tcPr>
          <w:p w14:paraId="69533F9C" w14:textId="674A2206" w:rsidR="00B77F86" w:rsidRDefault="00B77F86" w:rsidP="00A2146D">
            <w:r>
              <w:t>40€/sesión 3h</w:t>
            </w:r>
            <w:r w:rsidR="00A2146D">
              <w:t xml:space="preserve"> + 20€ cada hora extra</w:t>
            </w:r>
          </w:p>
        </w:tc>
      </w:tr>
      <w:tr w:rsidR="00B77F86" w14:paraId="4CCD28BC" w14:textId="77777777" w:rsidTr="00B77F86">
        <w:tc>
          <w:tcPr>
            <w:tcW w:w="1668" w:type="dxa"/>
          </w:tcPr>
          <w:p w14:paraId="056546FC" w14:textId="557FB11B" w:rsidR="00B77F86" w:rsidRDefault="00B77F86" w:rsidP="0023120A">
            <w:r>
              <w:t>Local</w:t>
            </w:r>
          </w:p>
        </w:tc>
        <w:tc>
          <w:tcPr>
            <w:tcW w:w="2126" w:type="dxa"/>
          </w:tcPr>
          <w:p w14:paraId="2072B8CB" w14:textId="2C597DCD" w:rsidR="00B77F86" w:rsidRDefault="00A2146D" w:rsidP="0023120A">
            <w:r>
              <w:t>5</w:t>
            </w:r>
            <w:r w:rsidR="00B77F86">
              <w:t>€/partido (mínimo 2 partidos; máximo 2 horas) o</w:t>
            </w:r>
          </w:p>
          <w:p w14:paraId="1960DAAF" w14:textId="13E66E9F" w:rsidR="00B77F86" w:rsidRDefault="00A2146D" w:rsidP="0023120A">
            <w:r>
              <w:t>10</w:t>
            </w:r>
            <w:r w:rsidR="00B77F86">
              <w:t>€ / 1 hora</w:t>
            </w:r>
          </w:p>
        </w:tc>
        <w:tc>
          <w:tcPr>
            <w:tcW w:w="2537" w:type="dxa"/>
          </w:tcPr>
          <w:p w14:paraId="5EE9E595" w14:textId="56CF1196" w:rsidR="00B77F86" w:rsidRDefault="00A2146D" w:rsidP="0023120A">
            <w:r>
              <w:t>8</w:t>
            </w:r>
            <w:r w:rsidR="00B77F86">
              <w:t xml:space="preserve">€/partido (mínimo </w:t>
            </w:r>
          </w:p>
          <w:p w14:paraId="12A4A65A" w14:textId="410B05CA" w:rsidR="00B77F86" w:rsidRDefault="00B77F86" w:rsidP="0023120A">
            <w:r>
              <w:t>2 partidos; máximo 2 horas) o</w:t>
            </w:r>
          </w:p>
          <w:p w14:paraId="33B23AB3" w14:textId="30F17D96" w:rsidR="00B77F86" w:rsidRDefault="00A2146D" w:rsidP="0023120A">
            <w:r>
              <w:t>20</w:t>
            </w:r>
            <w:r w:rsidR="00B77F86">
              <w:t>€ / 1 hora</w:t>
            </w:r>
          </w:p>
        </w:tc>
        <w:tc>
          <w:tcPr>
            <w:tcW w:w="1632" w:type="dxa"/>
          </w:tcPr>
          <w:p w14:paraId="5782B7AC" w14:textId="138293EB" w:rsidR="00B77F86" w:rsidRDefault="00B77F86" w:rsidP="00A2146D">
            <w:r>
              <w:t>30€/sesión 3h</w:t>
            </w:r>
            <w:r w:rsidR="00A2146D">
              <w:t>+ 15€ cada hora extra</w:t>
            </w:r>
          </w:p>
        </w:tc>
      </w:tr>
    </w:tbl>
    <w:p w14:paraId="2F7A996F" w14:textId="77777777" w:rsidR="00BB217A" w:rsidRDefault="00BB217A" w:rsidP="00C24B5B"/>
    <w:p w14:paraId="7ABF2B4B" w14:textId="30B7ABBF" w:rsidR="008E0D8D" w:rsidRDefault="008E0D8D" w:rsidP="008E0D8D">
      <w:pPr>
        <w:pStyle w:val="Ttulo2"/>
      </w:pPr>
      <w:bookmarkStart w:id="6" w:name="_Toc145349441"/>
      <w:r>
        <w:t>Desplazamientos</w:t>
      </w:r>
      <w:bookmarkEnd w:id="6"/>
    </w:p>
    <w:p w14:paraId="0131198B" w14:textId="64C2EBF8" w:rsidR="00AB6E52" w:rsidRDefault="00C16C5E" w:rsidP="00C16C5E">
      <w:pPr>
        <w:pStyle w:val="Prrafodelista"/>
        <w:numPr>
          <w:ilvl w:val="0"/>
          <w:numId w:val="18"/>
        </w:numPr>
      </w:pPr>
      <w:r>
        <w:t>Si el desplazamiento se realiza en un medio de transporte público, se abonará el importe del billete, previa presentación del mismo.</w:t>
      </w:r>
    </w:p>
    <w:p w14:paraId="151E47E1" w14:textId="208B929F" w:rsidR="00AB6E52" w:rsidRDefault="00AB6E52" w:rsidP="00C16C5E">
      <w:pPr>
        <w:pStyle w:val="Prrafodelista"/>
        <w:numPr>
          <w:ilvl w:val="0"/>
          <w:numId w:val="18"/>
        </w:numPr>
      </w:pPr>
      <w:r>
        <w:t xml:space="preserve">Si el desplazamiento se realiza </w:t>
      </w:r>
      <w:r w:rsidR="00C16C5E">
        <w:t xml:space="preserve">fuera de su localidad, más de 30 km en un solo sentido y </w:t>
      </w:r>
      <w:r>
        <w:t xml:space="preserve">en </w:t>
      </w:r>
      <w:r w:rsidR="00C16C5E">
        <w:t>vehículo privado, cuya matrícula habrá que hacer constar, se abonarán 0,19 €/km., más el importe de los peajes presentando el comprobante.</w:t>
      </w:r>
    </w:p>
    <w:p w14:paraId="2584A971" w14:textId="6AAFBA64" w:rsidR="00C16C5E" w:rsidRDefault="00C16C5E" w:rsidP="00B77740">
      <w:pPr>
        <w:pStyle w:val="Prrafodelista"/>
        <w:numPr>
          <w:ilvl w:val="0"/>
          <w:numId w:val="18"/>
        </w:numPr>
      </w:pPr>
      <w:r>
        <w:t>En el caso de que dos o más árbitros/as se desplacen juntos/as en el mismo vehículo, la cantidad que corresponda abonar en concepto de gastos de desplazamiento será percibida por uno de los árbitros, no percibiendo los acompañantes ninguna cantidad en concepto de gastos de desplazamiento.</w:t>
      </w:r>
    </w:p>
    <w:p w14:paraId="7B002E78" w14:textId="0FFF687F" w:rsidR="003E4D94" w:rsidRDefault="00C16C5E" w:rsidP="00163DC7">
      <w:pPr>
        <w:pStyle w:val="Prrafodelista"/>
        <w:numPr>
          <w:ilvl w:val="0"/>
          <w:numId w:val="18"/>
        </w:numPr>
      </w:pPr>
      <w:r>
        <w:t>Para el cálculo de los kilómetros recorridos, cuando el desplazamiento se efectúe en vehículo privado, se consultarán las distancias en Internet</w:t>
      </w:r>
      <w:r w:rsidR="003E4D94">
        <w:t>.</w:t>
      </w:r>
    </w:p>
    <w:p w14:paraId="25F004DD" w14:textId="31BF19BC" w:rsidR="004C44BC" w:rsidRDefault="00C16C5E" w:rsidP="00C16C5E">
      <w:pPr>
        <w:pStyle w:val="Ttulo2"/>
      </w:pPr>
      <w:bookmarkStart w:id="7" w:name="_Toc145349442"/>
      <w:r>
        <w:t>Dietas</w:t>
      </w:r>
      <w:bookmarkEnd w:id="7"/>
    </w:p>
    <w:p w14:paraId="1D818D75" w14:textId="6EA8BDB8" w:rsidR="00C24B5B" w:rsidRDefault="00C24B5B" w:rsidP="0088256F">
      <w:pPr>
        <w:pStyle w:val="Prrafodelista"/>
        <w:numPr>
          <w:ilvl w:val="0"/>
          <w:numId w:val="26"/>
        </w:numPr>
      </w:pPr>
      <w:r>
        <w:t>Se establecen dietas cuando el torneo se realice fuera del lugar de residencia habitual del árbitro.</w:t>
      </w:r>
    </w:p>
    <w:p w14:paraId="0B4B0BC7" w14:textId="6D88E62B" w:rsidR="0088256F" w:rsidRPr="0088256F" w:rsidRDefault="00C24B5B" w:rsidP="00C24B5B">
      <w:pPr>
        <w:pStyle w:val="Prrafodelista"/>
        <w:numPr>
          <w:ilvl w:val="0"/>
          <w:numId w:val="26"/>
        </w:numPr>
      </w:pPr>
      <w:r>
        <w:lastRenderedPageBreak/>
        <w:t>La d</w:t>
      </w:r>
      <w:r w:rsidR="0088256F">
        <w:t>ieta por manutención</w:t>
      </w:r>
      <w:r>
        <w:t xml:space="preserve"> por día completo</w:t>
      </w:r>
      <w:r w:rsidR="0088256F">
        <w:t xml:space="preserve"> </w:t>
      </w:r>
      <w:r>
        <w:t xml:space="preserve">es de </w:t>
      </w:r>
      <w:r w:rsidR="0088256F">
        <w:t>35 €</w:t>
      </w:r>
      <w:r>
        <w:t>/día y de 17€ si es sólo por la mañana o sólo por la tarde.</w:t>
      </w:r>
    </w:p>
    <w:p w14:paraId="439475C2" w14:textId="4EE3D8B7" w:rsidR="00C16C5E" w:rsidRDefault="00C16C5E" w:rsidP="00C16C5E">
      <w:pPr>
        <w:pStyle w:val="Ttulo2"/>
      </w:pPr>
      <w:bookmarkStart w:id="8" w:name="_Toc145349443"/>
      <w:r>
        <w:t>Alojamiento</w:t>
      </w:r>
      <w:bookmarkEnd w:id="8"/>
    </w:p>
    <w:p w14:paraId="75DF8BB0" w14:textId="6A821F51" w:rsidR="00C16C5E" w:rsidRDefault="00C16C5E" w:rsidP="00C16C5E">
      <w:pPr>
        <w:pStyle w:val="Prrafodelista"/>
        <w:numPr>
          <w:ilvl w:val="0"/>
          <w:numId w:val="25"/>
        </w:numPr>
      </w:pPr>
      <w:r>
        <w:t>Se abonarán gastos de alojamiento cuando el árbitro deba pernoctar fuera de su lugar de residencia habitual, y siempre que la distancia entre el lugar de residencia del árbitro y el de celebración de la competición sea superior a 200 km (en el caso de competiciones de un solo día), o a 50 km (en el caso de competiciones de varios días). Sólo se abonará este gasto cuando se presente la justificación documental correspondiente (factura de hotel y justificante de pago de la misma). En la factura de hotel deberá aparecer el nombre y apellidos, domicilio y D.N.I. del cliente, así como todos los datos de identificación fiscal del establecimiento hotelero y el número de factura. En el lugar de la factura donde se indique el número de personas alojadas, solo podrá aparecer 1 persona, por lo que en caso de compartirse la habitación con otra persona, sean o no sean árbitros, el hotel deberá facturar aparte a la otra persona alojada en la misma habitación.</w:t>
      </w:r>
    </w:p>
    <w:p w14:paraId="15FDD613" w14:textId="2A023F9A" w:rsidR="00C16C5E" w:rsidRDefault="00C16C5E" w:rsidP="00C16C5E">
      <w:pPr>
        <w:pStyle w:val="Prrafodelista"/>
        <w:numPr>
          <w:ilvl w:val="0"/>
          <w:numId w:val="25"/>
        </w:numPr>
      </w:pPr>
      <w:r>
        <w:t>Se establece un máximo de 60 €/noche</w:t>
      </w:r>
      <w:r w:rsidR="0088256F">
        <w:t>.</w:t>
      </w:r>
    </w:p>
    <w:p w14:paraId="334EC47F" w14:textId="6E65CE12" w:rsidR="0088256F" w:rsidRDefault="0088256F" w:rsidP="0088256F">
      <w:pPr>
        <w:pStyle w:val="Ttulo2"/>
      </w:pPr>
      <w:bookmarkStart w:id="9" w:name="_Toc145349444"/>
      <w:r>
        <w:t>Procedimiento de Pago</w:t>
      </w:r>
      <w:bookmarkEnd w:id="9"/>
    </w:p>
    <w:p w14:paraId="529F8286" w14:textId="03A8B393" w:rsidR="0088256F" w:rsidRDefault="0088256F" w:rsidP="00BC7390">
      <w:pPr>
        <w:pStyle w:val="Prrafodelista"/>
        <w:numPr>
          <w:ilvl w:val="0"/>
          <w:numId w:val="28"/>
        </w:numPr>
      </w:pPr>
      <w:r>
        <w:t>Cada árbitro presentará al organizador la nota de liquidación de gastos, debidamente cumplimentado, acompañado, en su caso, de la justificación documental correspondiente. Efectuada la oportuna comprobación, el organizador abonará a cada árbitro los gastos que procedan, firmando éstos el recibo correspondiente.</w:t>
      </w:r>
    </w:p>
    <w:p w14:paraId="3E3D4B54" w14:textId="77777777" w:rsidR="004E352D" w:rsidRPr="0088256F" w:rsidRDefault="004E352D" w:rsidP="004E352D">
      <w:pPr>
        <w:pStyle w:val="Prrafodelista"/>
      </w:pPr>
    </w:p>
    <w:sectPr w:rsidR="004E352D" w:rsidRPr="0088256F" w:rsidSect="000739B4">
      <w:footerReference w:type="default" r:id="rId12"/>
      <w:pgSz w:w="11906" w:h="16838"/>
      <w:pgMar w:top="1440" w:right="1080" w:bottom="1440" w:left="1080" w:header="708" w:footer="708"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D7A0" w16cex:dateUtc="2023-02-12T20:24:00Z"/>
  <w16cex:commentExtensible w16cex:durableId="2793D81A" w16cex:dateUtc="2023-02-12T20:26:00Z"/>
  <w16cex:commentExtensible w16cex:durableId="2793D97E" w16cex:dateUtc="2023-02-12T20:32:00Z"/>
  <w16cex:commentExtensible w16cex:durableId="2793D9ED" w16cex:dateUtc="2023-02-12T20:34:00Z"/>
  <w16cex:commentExtensible w16cex:durableId="2793DA4C" w16cex:dateUtc="2023-02-12T20:36:00Z"/>
  <w16cex:commentExtensible w16cex:durableId="2793DAE7" w16cex:dateUtc="2023-02-12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42080" w16cid:durableId="2793D7A0"/>
  <w16cid:commentId w16cid:paraId="0776CD13" w16cid:durableId="2793D81A"/>
  <w16cid:commentId w16cid:paraId="0E356722" w16cid:durableId="2793D97E"/>
  <w16cid:commentId w16cid:paraId="052ED4C2" w16cid:durableId="2793D9ED"/>
  <w16cid:commentId w16cid:paraId="754596AC" w16cid:durableId="2793DA4C"/>
  <w16cid:commentId w16cid:paraId="4F36700C" w16cid:durableId="2793DAE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33FF7" w14:textId="77777777" w:rsidR="009734A4" w:rsidRDefault="009734A4" w:rsidP="00DE27C4">
      <w:pPr>
        <w:spacing w:after="0" w:line="240" w:lineRule="auto"/>
      </w:pPr>
      <w:r>
        <w:separator/>
      </w:r>
    </w:p>
  </w:endnote>
  <w:endnote w:type="continuationSeparator" w:id="0">
    <w:p w14:paraId="6481B2E9" w14:textId="77777777" w:rsidR="009734A4" w:rsidRDefault="009734A4" w:rsidP="00DE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CC052" w14:textId="04A78095" w:rsidR="00DE27C4" w:rsidRDefault="00DE27C4" w:rsidP="00B95C81">
    <w:pPr>
      <w:pStyle w:val="Piedepgina"/>
      <w:jc w:val="right"/>
    </w:pPr>
    <w:r>
      <w:ptab w:relativeTo="margin" w:alignment="center" w:leader="none"/>
    </w:r>
    <w:r w:rsidRPr="00DE27C4">
      <w:fldChar w:fldCharType="begin"/>
    </w:r>
    <w:r w:rsidRPr="00DE27C4">
      <w:instrText>PAGE   \* MERGEFORMAT</w:instrText>
    </w:r>
    <w:r w:rsidRPr="00DE27C4">
      <w:fldChar w:fldCharType="separate"/>
    </w:r>
    <w:r w:rsidR="00394CD8">
      <w:rPr>
        <w:noProof/>
      </w:rPr>
      <w:t>5</w:t>
    </w:r>
    <w:r w:rsidRPr="00DE27C4">
      <w:fldChar w:fldCharType="end"/>
    </w:r>
    <w:r>
      <w:ptab w:relativeTo="margin" w:alignment="right" w:leader="none"/>
    </w:r>
    <w:hyperlink r:id="rId1" w:history="1">
      <w:r w:rsidR="00B95C81" w:rsidRPr="00B95C81">
        <w:t>arbitros.pickleballspain@gmail.com</w:t>
      </w:r>
    </w:hyperlink>
    <w:r w:rsidR="00B95C81">
      <w:t xml:space="preserve">   </w:t>
    </w:r>
    <w:r w:rsidR="00B95C81">
      <w:rPr>
        <w:noProof/>
        <w:lang w:eastAsia="es-ES"/>
      </w:rPr>
      <w:drawing>
        <wp:inline distT="0" distB="0" distL="0" distR="0" wp14:anchorId="04E83DF4" wp14:editId="5C9D6373">
          <wp:extent cx="2276475" cy="305795"/>
          <wp:effectExtent l="0" t="0" r="0" b="0"/>
          <wp:docPr id="2" name="Imagen 2" descr="Pickleball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leball Españ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305795"/>
                  </a:xfrm>
                  <a:prstGeom prst="rect">
                    <a:avLst/>
                  </a:prstGeom>
                  <a:noFill/>
                  <a:ln>
                    <a:noFill/>
                  </a:ln>
                </pic:spPr>
              </pic:pic>
            </a:graphicData>
          </a:graphic>
        </wp:inline>
      </w:drawing>
    </w:r>
    <w:r w:rsidR="00B95C8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E47DE" w14:textId="77777777" w:rsidR="009734A4" w:rsidRDefault="009734A4" w:rsidP="00DE27C4">
      <w:pPr>
        <w:spacing w:after="0" w:line="240" w:lineRule="auto"/>
      </w:pPr>
      <w:r>
        <w:separator/>
      </w:r>
    </w:p>
  </w:footnote>
  <w:footnote w:type="continuationSeparator" w:id="0">
    <w:p w14:paraId="7E23E874" w14:textId="77777777" w:rsidR="009734A4" w:rsidRDefault="009734A4" w:rsidP="00DE2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DD3"/>
    <w:multiLevelType w:val="hybridMultilevel"/>
    <w:tmpl w:val="98A0C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184CEF"/>
    <w:multiLevelType w:val="hybridMultilevel"/>
    <w:tmpl w:val="40869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FB3DE5"/>
    <w:multiLevelType w:val="hybridMultilevel"/>
    <w:tmpl w:val="8E2CC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901E3A"/>
    <w:multiLevelType w:val="hybridMultilevel"/>
    <w:tmpl w:val="DAB4DC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F225C4"/>
    <w:multiLevelType w:val="hybridMultilevel"/>
    <w:tmpl w:val="26F25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3008DD"/>
    <w:multiLevelType w:val="multilevel"/>
    <w:tmpl w:val="83862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F4F4077"/>
    <w:multiLevelType w:val="hybridMultilevel"/>
    <w:tmpl w:val="C764C398"/>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231631B6"/>
    <w:multiLevelType w:val="hybridMultilevel"/>
    <w:tmpl w:val="20FE1660"/>
    <w:lvl w:ilvl="0" w:tplc="024EB8F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24BB563A"/>
    <w:multiLevelType w:val="hybridMultilevel"/>
    <w:tmpl w:val="51FC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9903A51"/>
    <w:multiLevelType w:val="multilevel"/>
    <w:tmpl w:val="F262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990711"/>
    <w:multiLevelType w:val="hybridMultilevel"/>
    <w:tmpl w:val="B2F856A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F">
      <w:start w:val="1"/>
      <w:numFmt w:val="decimal"/>
      <w:lvlText w:val="%3."/>
      <w:lvlJc w:val="left"/>
      <w:pPr>
        <w:ind w:left="2160" w:hanging="360"/>
      </w:pPr>
      <w:rPr>
        <w:rFont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DA1F71"/>
    <w:multiLevelType w:val="hybridMultilevel"/>
    <w:tmpl w:val="B42208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2605F6"/>
    <w:multiLevelType w:val="hybridMultilevel"/>
    <w:tmpl w:val="FEF6D638"/>
    <w:lvl w:ilvl="0" w:tplc="E20A56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365B0CAC"/>
    <w:multiLevelType w:val="hybridMultilevel"/>
    <w:tmpl w:val="B5064F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C973843"/>
    <w:multiLevelType w:val="hybridMultilevel"/>
    <w:tmpl w:val="68305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B779FB"/>
    <w:multiLevelType w:val="hybridMultilevel"/>
    <w:tmpl w:val="7962475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2CB174D"/>
    <w:multiLevelType w:val="hybridMultilevel"/>
    <w:tmpl w:val="1DEAE1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5E534D5"/>
    <w:multiLevelType w:val="hybridMultilevel"/>
    <w:tmpl w:val="3B14F4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B5E1773"/>
    <w:multiLevelType w:val="hybridMultilevel"/>
    <w:tmpl w:val="F30E07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2CC1E84"/>
    <w:multiLevelType w:val="multilevel"/>
    <w:tmpl w:val="B7F4A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5474264"/>
    <w:multiLevelType w:val="multilevel"/>
    <w:tmpl w:val="60A6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60593D"/>
    <w:multiLevelType w:val="hybridMultilevel"/>
    <w:tmpl w:val="7E9827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6BE71F8"/>
    <w:multiLevelType w:val="multilevel"/>
    <w:tmpl w:val="1884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8632D0"/>
    <w:multiLevelType w:val="hybridMultilevel"/>
    <w:tmpl w:val="E60AC248"/>
    <w:lvl w:ilvl="0" w:tplc="3E40705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C30379D"/>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5">
    <w:nsid w:val="731B3164"/>
    <w:multiLevelType w:val="hybridMultilevel"/>
    <w:tmpl w:val="364C83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5F57C27"/>
    <w:multiLevelType w:val="hybridMultilevel"/>
    <w:tmpl w:val="BD782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655722A"/>
    <w:multiLevelType w:val="multilevel"/>
    <w:tmpl w:val="594089C6"/>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710626C"/>
    <w:multiLevelType w:val="hybridMultilevel"/>
    <w:tmpl w:val="3556A6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8BC116B"/>
    <w:multiLevelType w:val="hybridMultilevel"/>
    <w:tmpl w:val="DF44B0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A014DEF"/>
    <w:multiLevelType w:val="hybridMultilevel"/>
    <w:tmpl w:val="2A880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6"/>
  </w:num>
  <w:num w:numId="4">
    <w:abstractNumId w:val="12"/>
  </w:num>
  <w:num w:numId="5">
    <w:abstractNumId w:val="6"/>
  </w:num>
  <w:num w:numId="6">
    <w:abstractNumId w:val="7"/>
  </w:num>
  <w:num w:numId="7">
    <w:abstractNumId w:val="21"/>
  </w:num>
  <w:num w:numId="8">
    <w:abstractNumId w:val="18"/>
  </w:num>
  <w:num w:numId="9">
    <w:abstractNumId w:val="13"/>
  </w:num>
  <w:num w:numId="10">
    <w:abstractNumId w:val="25"/>
  </w:num>
  <w:num w:numId="11">
    <w:abstractNumId w:val="17"/>
  </w:num>
  <w:num w:numId="12">
    <w:abstractNumId w:val="11"/>
  </w:num>
  <w:num w:numId="13">
    <w:abstractNumId w:val="29"/>
  </w:num>
  <w:num w:numId="14">
    <w:abstractNumId w:val="3"/>
  </w:num>
  <w:num w:numId="15">
    <w:abstractNumId w:val="9"/>
  </w:num>
  <w:num w:numId="16">
    <w:abstractNumId w:val="20"/>
  </w:num>
  <w:num w:numId="17">
    <w:abstractNumId w:val="22"/>
  </w:num>
  <w:num w:numId="18">
    <w:abstractNumId w:val="14"/>
  </w:num>
  <w:num w:numId="19">
    <w:abstractNumId w:val="4"/>
  </w:num>
  <w:num w:numId="20">
    <w:abstractNumId w:val="8"/>
  </w:num>
  <w:num w:numId="21">
    <w:abstractNumId w:val="1"/>
  </w:num>
  <w:num w:numId="22">
    <w:abstractNumId w:val="28"/>
  </w:num>
  <w:num w:numId="23">
    <w:abstractNumId w:val="10"/>
  </w:num>
  <w:num w:numId="24">
    <w:abstractNumId w:val="16"/>
  </w:num>
  <w:num w:numId="25">
    <w:abstractNumId w:val="30"/>
  </w:num>
  <w:num w:numId="26">
    <w:abstractNumId w:val="0"/>
  </w:num>
  <w:num w:numId="27">
    <w:abstractNumId w:val="24"/>
  </w:num>
  <w:num w:numId="28">
    <w:abstractNumId w:val="2"/>
  </w:num>
  <w:num w:numId="29">
    <w:abstractNumId w:val="5"/>
  </w:num>
  <w:num w:numId="30">
    <w:abstractNumId w:val="1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7C4"/>
    <w:rsid w:val="000000FA"/>
    <w:rsid w:val="00004200"/>
    <w:rsid w:val="00031776"/>
    <w:rsid w:val="00043935"/>
    <w:rsid w:val="000739B4"/>
    <w:rsid w:val="000B598E"/>
    <w:rsid w:val="000C39F5"/>
    <w:rsid w:val="000F0783"/>
    <w:rsid w:val="0011230A"/>
    <w:rsid w:val="00137CE4"/>
    <w:rsid w:val="00154E3E"/>
    <w:rsid w:val="00181FB1"/>
    <w:rsid w:val="001F64A6"/>
    <w:rsid w:val="00224363"/>
    <w:rsid w:val="002336E0"/>
    <w:rsid w:val="00257746"/>
    <w:rsid w:val="002D4544"/>
    <w:rsid w:val="003053DB"/>
    <w:rsid w:val="00305B98"/>
    <w:rsid w:val="003674E1"/>
    <w:rsid w:val="003702BC"/>
    <w:rsid w:val="00394CD8"/>
    <w:rsid w:val="003B0E2C"/>
    <w:rsid w:val="003D609D"/>
    <w:rsid w:val="003E4D94"/>
    <w:rsid w:val="003E4E92"/>
    <w:rsid w:val="003F5FAB"/>
    <w:rsid w:val="00417D4A"/>
    <w:rsid w:val="0044613C"/>
    <w:rsid w:val="00465A1B"/>
    <w:rsid w:val="00473110"/>
    <w:rsid w:val="004A0D09"/>
    <w:rsid w:val="004B5D2F"/>
    <w:rsid w:val="004C44BC"/>
    <w:rsid w:val="004E352D"/>
    <w:rsid w:val="004F1023"/>
    <w:rsid w:val="00505A07"/>
    <w:rsid w:val="005537A9"/>
    <w:rsid w:val="005A0AAC"/>
    <w:rsid w:val="005B017D"/>
    <w:rsid w:val="005C535C"/>
    <w:rsid w:val="00601B2A"/>
    <w:rsid w:val="006C1B13"/>
    <w:rsid w:val="006C6C90"/>
    <w:rsid w:val="00720171"/>
    <w:rsid w:val="007317EB"/>
    <w:rsid w:val="00771500"/>
    <w:rsid w:val="00771C5A"/>
    <w:rsid w:val="00772B5E"/>
    <w:rsid w:val="007A1DB6"/>
    <w:rsid w:val="007D3149"/>
    <w:rsid w:val="007E5C46"/>
    <w:rsid w:val="007F0773"/>
    <w:rsid w:val="007F0FE9"/>
    <w:rsid w:val="00843F8C"/>
    <w:rsid w:val="0088256F"/>
    <w:rsid w:val="00887433"/>
    <w:rsid w:val="008D6103"/>
    <w:rsid w:val="008E0D8D"/>
    <w:rsid w:val="008E4FA5"/>
    <w:rsid w:val="008F5402"/>
    <w:rsid w:val="00925E91"/>
    <w:rsid w:val="00932884"/>
    <w:rsid w:val="009338D2"/>
    <w:rsid w:val="0096002C"/>
    <w:rsid w:val="00972E70"/>
    <w:rsid w:val="009734A4"/>
    <w:rsid w:val="00996DDD"/>
    <w:rsid w:val="009A63C4"/>
    <w:rsid w:val="009B0A50"/>
    <w:rsid w:val="009D4BA6"/>
    <w:rsid w:val="00A1746E"/>
    <w:rsid w:val="00A2146D"/>
    <w:rsid w:val="00A34377"/>
    <w:rsid w:val="00AB6E52"/>
    <w:rsid w:val="00B11685"/>
    <w:rsid w:val="00B265E3"/>
    <w:rsid w:val="00B77F86"/>
    <w:rsid w:val="00B95C81"/>
    <w:rsid w:val="00BB116D"/>
    <w:rsid w:val="00BB217A"/>
    <w:rsid w:val="00BC5567"/>
    <w:rsid w:val="00BD3081"/>
    <w:rsid w:val="00BE28DA"/>
    <w:rsid w:val="00BE5C66"/>
    <w:rsid w:val="00C16C5E"/>
    <w:rsid w:val="00C24B5B"/>
    <w:rsid w:val="00C4667D"/>
    <w:rsid w:val="00C94FFA"/>
    <w:rsid w:val="00D7469B"/>
    <w:rsid w:val="00D77B30"/>
    <w:rsid w:val="00D87B9F"/>
    <w:rsid w:val="00D94911"/>
    <w:rsid w:val="00D949CC"/>
    <w:rsid w:val="00DE27C4"/>
    <w:rsid w:val="00E21FA2"/>
    <w:rsid w:val="00E760FF"/>
    <w:rsid w:val="00E81DF7"/>
    <w:rsid w:val="00E84182"/>
    <w:rsid w:val="00E91334"/>
    <w:rsid w:val="00F65B53"/>
    <w:rsid w:val="00F70B6C"/>
    <w:rsid w:val="00F92C42"/>
    <w:rsid w:val="00FA3DD4"/>
    <w:rsid w:val="00FB50EE"/>
    <w:rsid w:val="00FD545B"/>
    <w:rsid w:val="00FF4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2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7A"/>
  </w:style>
  <w:style w:type="paragraph" w:styleId="Ttulo1">
    <w:name w:val="heading 1"/>
    <w:basedOn w:val="Normal"/>
    <w:next w:val="Normal"/>
    <w:link w:val="Ttulo1Car"/>
    <w:uiPriority w:val="9"/>
    <w:qFormat/>
    <w:rsid w:val="00DE27C4"/>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545B"/>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256F"/>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8256F"/>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8256F"/>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8256F"/>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8256F"/>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8256F"/>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8256F"/>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7C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DE2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7C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2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7C4"/>
  </w:style>
  <w:style w:type="paragraph" w:styleId="Piedepgina">
    <w:name w:val="footer"/>
    <w:basedOn w:val="Normal"/>
    <w:link w:val="PiedepginaCar"/>
    <w:uiPriority w:val="99"/>
    <w:unhideWhenUsed/>
    <w:rsid w:val="00DE2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7C4"/>
  </w:style>
  <w:style w:type="table" w:styleId="Tablaconcuadrcula">
    <w:name w:val="Table Grid"/>
    <w:basedOn w:val="Tablanormal"/>
    <w:uiPriority w:val="39"/>
    <w:rsid w:val="00DE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39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935"/>
    <w:rPr>
      <w:rFonts w:eastAsiaTheme="minorEastAsia"/>
      <w:lang w:eastAsia="es-ES"/>
    </w:rPr>
  </w:style>
  <w:style w:type="character" w:customStyle="1" w:styleId="Ttulo2Car">
    <w:name w:val="Título 2 Car"/>
    <w:basedOn w:val="Fuentedeprrafopredeter"/>
    <w:link w:val="Ttulo2"/>
    <w:uiPriority w:val="9"/>
    <w:rsid w:val="00FD54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D545B"/>
    <w:pPr>
      <w:ind w:left="720"/>
      <w:contextualSpacing/>
    </w:pPr>
  </w:style>
  <w:style w:type="paragraph" w:styleId="TtulodeTDC">
    <w:name w:val="TOC Heading"/>
    <w:basedOn w:val="Ttulo1"/>
    <w:next w:val="Normal"/>
    <w:uiPriority w:val="39"/>
    <w:unhideWhenUsed/>
    <w:qFormat/>
    <w:rsid w:val="000739B4"/>
    <w:pPr>
      <w:outlineLvl w:val="9"/>
    </w:pPr>
    <w:rPr>
      <w:lang w:eastAsia="es-ES"/>
    </w:rPr>
  </w:style>
  <w:style w:type="paragraph" w:styleId="TDC1">
    <w:name w:val="toc 1"/>
    <w:basedOn w:val="Normal"/>
    <w:next w:val="Normal"/>
    <w:autoRedefine/>
    <w:uiPriority w:val="39"/>
    <w:unhideWhenUsed/>
    <w:rsid w:val="000739B4"/>
    <w:pPr>
      <w:spacing w:after="100"/>
    </w:pPr>
  </w:style>
  <w:style w:type="paragraph" w:styleId="TDC2">
    <w:name w:val="toc 2"/>
    <w:basedOn w:val="Normal"/>
    <w:next w:val="Normal"/>
    <w:autoRedefine/>
    <w:uiPriority w:val="39"/>
    <w:unhideWhenUsed/>
    <w:rsid w:val="000739B4"/>
    <w:pPr>
      <w:spacing w:after="100"/>
      <w:ind w:left="220"/>
    </w:pPr>
  </w:style>
  <w:style w:type="character" w:styleId="Hipervnculo">
    <w:name w:val="Hyperlink"/>
    <w:basedOn w:val="Fuentedeprrafopredeter"/>
    <w:uiPriority w:val="99"/>
    <w:unhideWhenUsed/>
    <w:rsid w:val="000739B4"/>
    <w:rPr>
      <w:color w:val="0563C1" w:themeColor="hyperlink"/>
      <w:u w:val="single"/>
    </w:rPr>
  </w:style>
  <w:style w:type="character" w:styleId="Refdecomentario">
    <w:name w:val="annotation reference"/>
    <w:basedOn w:val="Fuentedeprrafopredeter"/>
    <w:uiPriority w:val="99"/>
    <w:semiHidden/>
    <w:unhideWhenUsed/>
    <w:rsid w:val="009A63C4"/>
    <w:rPr>
      <w:sz w:val="16"/>
      <w:szCs w:val="16"/>
    </w:rPr>
  </w:style>
  <w:style w:type="paragraph" w:styleId="Textocomentario">
    <w:name w:val="annotation text"/>
    <w:basedOn w:val="Normal"/>
    <w:link w:val="TextocomentarioCar"/>
    <w:uiPriority w:val="99"/>
    <w:unhideWhenUsed/>
    <w:rsid w:val="009A63C4"/>
    <w:pPr>
      <w:spacing w:line="240" w:lineRule="auto"/>
    </w:pPr>
    <w:rPr>
      <w:sz w:val="20"/>
      <w:szCs w:val="20"/>
    </w:rPr>
  </w:style>
  <w:style w:type="character" w:customStyle="1" w:styleId="TextocomentarioCar">
    <w:name w:val="Texto comentario Car"/>
    <w:basedOn w:val="Fuentedeprrafopredeter"/>
    <w:link w:val="Textocomentario"/>
    <w:uiPriority w:val="99"/>
    <w:rsid w:val="009A63C4"/>
    <w:rPr>
      <w:sz w:val="20"/>
      <w:szCs w:val="20"/>
    </w:rPr>
  </w:style>
  <w:style w:type="paragraph" w:styleId="Asuntodelcomentario">
    <w:name w:val="annotation subject"/>
    <w:basedOn w:val="Textocomentario"/>
    <w:next w:val="Textocomentario"/>
    <w:link w:val="AsuntodelcomentarioCar"/>
    <w:uiPriority w:val="99"/>
    <w:semiHidden/>
    <w:unhideWhenUsed/>
    <w:rsid w:val="009A63C4"/>
    <w:rPr>
      <w:b/>
      <w:bCs/>
    </w:rPr>
  </w:style>
  <w:style w:type="character" w:customStyle="1" w:styleId="AsuntodelcomentarioCar">
    <w:name w:val="Asunto del comentario Car"/>
    <w:basedOn w:val="TextocomentarioCar"/>
    <w:link w:val="Asuntodelcomentario"/>
    <w:uiPriority w:val="99"/>
    <w:semiHidden/>
    <w:rsid w:val="009A63C4"/>
    <w:rPr>
      <w:b/>
      <w:bCs/>
      <w:sz w:val="20"/>
      <w:szCs w:val="20"/>
    </w:rPr>
  </w:style>
  <w:style w:type="paragraph" w:styleId="Textodeglobo">
    <w:name w:val="Balloon Text"/>
    <w:basedOn w:val="Normal"/>
    <w:link w:val="TextodegloboCar"/>
    <w:uiPriority w:val="99"/>
    <w:semiHidden/>
    <w:unhideWhenUsed/>
    <w:rsid w:val="009A6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3C4"/>
    <w:rPr>
      <w:rFonts w:ascii="Segoe UI" w:hAnsi="Segoe UI" w:cs="Segoe UI"/>
      <w:sz w:val="18"/>
      <w:szCs w:val="18"/>
    </w:rPr>
  </w:style>
  <w:style w:type="character" w:styleId="nfasis">
    <w:name w:val="Emphasis"/>
    <w:basedOn w:val="Fuentedeprrafopredeter"/>
    <w:uiPriority w:val="20"/>
    <w:qFormat/>
    <w:rsid w:val="00257746"/>
    <w:rPr>
      <w:i/>
      <w:iCs/>
    </w:rPr>
  </w:style>
  <w:style w:type="character" w:styleId="nfasisintenso">
    <w:name w:val="Intense Emphasis"/>
    <w:basedOn w:val="Fuentedeprrafopredeter"/>
    <w:uiPriority w:val="21"/>
    <w:qFormat/>
    <w:rsid w:val="005537A9"/>
    <w:rPr>
      <w:b/>
      <w:bCs/>
      <w:i/>
      <w:iCs/>
      <w:color w:val="5B9BD5" w:themeColor="accent1"/>
    </w:rPr>
  </w:style>
  <w:style w:type="paragraph" w:styleId="Revisin">
    <w:name w:val="Revision"/>
    <w:hidden/>
    <w:uiPriority w:val="99"/>
    <w:semiHidden/>
    <w:rsid w:val="007F0773"/>
    <w:pPr>
      <w:spacing w:after="0" w:line="240" w:lineRule="auto"/>
    </w:pPr>
  </w:style>
  <w:style w:type="paragraph" w:styleId="Textonotaalfinal">
    <w:name w:val="endnote text"/>
    <w:basedOn w:val="Normal"/>
    <w:link w:val="TextonotaalfinalCar"/>
    <w:uiPriority w:val="99"/>
    <w:semiHidden/>
    <w:unhideWhenUsed/>
    <w:rsid w:val="007715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71500"/>
    <w:rPr>
      <w:sz w:val="20"/>
      <w:szCs w:val="20"/>
    </w:rPr>
  </w:style>
  <w:style w:type="character" w:styleId="Refdenotaalfinal">
    <w:name w:val="endnote reference"/>
    <w:basedOn w:val="Fuentedeprrafopredeter"/>
    <w:uiPriority w:val="99"/>
    <w:semiHidden/>
    <w:unhideWhenUsed/>
    <w:rsid w:val="00771500"/>
    <w:rPr>
      <w:vertAlign w:val="superscript"/>
    </w:rPr>
  </w:style>
  <w:style w:type="paragraph" w:styleId="Textonotapie">
    <w:name w:val="footnote text"/>
    <w:basedOn w:val="Normal"/>
    <w:link w:val="TextonotapieCar"/>
    <w:uiPriority w:val="99"/>
    <w:semiHidden/>
    <w:unhideWhenUsed/>
    <w:rsid w:val="007715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1500"/>
    <w:rPr>
      <w:sz w:val="20"/>
      <w:szCs w:val="20"/>
    </w:rPr>
  </w:style>
  <w:style w:type="character" w:styleId="Refdenotaalpie">
    <w:name w:val="footnote reference"/>
    <w:basedOn w:val="Fuentedeprrafopredeter"/>
    <w:uiPriority w:val="99"/>
    <w:semiHidden/>
    <w:unhideWhenUsed/>
    <w:rsid w:val="00771500"/>
    <w:rPr>
      <w:vertAlign w:val="superscript"/>
    </w:rPr>
  </w:style>
  <w:style w:type="character" w:customStyle="1" w:styleId="Ttulo3Car">
    <w:name w:val="Título 3 Car"/>
    <w:basedOn w:val="Fuentedeprrafopredeter"/>
    <w:link w:val="Ttulo3"/>
    <w:uiPriority w:val="9"/>
    <w:rsid w:val="008825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825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825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825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825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825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8256F"/>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17A"/>
  </w:style>
  <w:style w:type="paragraph" w:styleId="Ttulo1">
    <w:name w:val="heading 1"/>
    <w:basedOn w:val="Normal"/>
    <w:next w:val="Normal"/>
    <w:link w:val="Ttulo1Car"/>
    <w:uiPriority w:val="9"/>
    <w:qFormat/>
    <w:rsid w:val="00DE27C4"/>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545B"/>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256F"/>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8256F"/>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8256F"/>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8256F"/>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8256F"/>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8256F"/>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8256F"/>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7C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DE2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7C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2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7C4"/>
  </w:style>
  <w:style w:type="paragraph" w:styleId="Piedepgina">
    <w:name w:val="footer"/>
    <w:basedOn w:val="Normal"/>
    <w:link w:val="PiedepginaCar"/>
    <w:uiPriority w:val="99"/>
    <w:unhideWhenUsed/>
    <w:rsid w:val="00DE2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7C4"/>
  </w:style>
  <w:style w:type="table" w:styleId="Tablaconcuadrcula">
    <w:name w:val="Table Grid"/>
    <w:basedOn w:val="Tablanormal"/>
    <w:uiPriority w:val="39"/>
    <w:rsid w:val="00DE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39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935"/>
    <w:rPr>
      <w:rFonts w:eastAsiaTheme="minorEastAsia"/>
      <w:lang w:eastAsia="es-ES"/>
    </w:rPr>
  </w:style>
  <w:style w:type="character" w:customStyle="1" w:styleId="Ttulo2Car">
    <w:name w:val="Título 2 Car"/>
    <w:basedOn w:val="Fuentedeprrafopredeter"/>
    <w:link w:val="Ttulo2"/>
    <w:uiPriority w:val="9"/>
    <w:rsid w:val="00FD54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D545B"/>
    <w:pPr>
      <w:ind w:left="720"/>
      <w:contextualSpacing/>
    </w:pPr>
  </w:style>
  <w:style w:type="paragraph" w:styleId="TtulodeTDC">
    <w:name w:val="TOC Heading"/>
    <w:basedOn w:val="Ttulo1"/>
    <w:next w:val="Normal"/>
    <w:uiPriority w:val="39"/>
    <w:unhideWhenUsed/>
    <w:qFormat/>
    <w:rsid w:val="000739B4"/>
    <w:pPr>
      <w:outlineLvl w:val="9"/>
    </w:pPr>
    <w:rPr>
      <w:lang w:eastAsia="es-ES"/>
    </w:rPr>
  </w:style>
  <w:style w:type="paragraph" w:styleId="TDC1">
    <w:name w:val="toc 1"/>
    <w:basedOn w:val="Normal"/>
    <w:next w:val="Normal"/>
    <w:autoRedefine/>
    <w:uiPriority w:val="39"/>
    <w:unhideWhenUsed/>
    <w:rsid w:val="000739B4"/>
    <w:pPr>
      <w:spacing w:after="100"/>
    </w:pPr>
  </w:style>
  <w:style w:type="paragraph" w:styleId="TDC2">
    <w:name w:val="toc 2"/>
    <w:basedOn w:val="Normal"/>
    <w:next w:val="Normal"/>
    <w:autoRedefine/>
    <w:uiPriority w:val="39"/>
    <w:unhideWhenUsed/>
    <w:rsid w:val="000739B4"/>
    <w:pPr>
      <w:spacing w:after="100"/>
      <w:ind w:left="220"/>
    </w:pPr>
  </w:style>
  <w:style w:type="character" w:styleId="Hipervnculo">
    <w:name w:val="Hyperlink"/>
    <w:basedOn w:val="Fuentedeprrafopredeter"/>
    <w:uiPriority w:val="99"/>
    <w:unhideWhenUsed/>
    <w:rsid w:val="000739B4"/>
    <w:rPr>
      <w:color w:val="0563C1" w:themeColor="hyperlink"/>
      <w:u w:val="single"/>
    </w:rPr>
  </w:style>
  <w:style w:type="character" w:styleId="Refdecomentario">
    <w:name w:val="annotation reference"/>
    <w:basedOn w:val="Fuentedeprrafopredeter"/>
    <w:uiPriority w:val="99"/>
    <w:semiHidden/>
    <w:unhideWhenUsed/>
    <w:rsid w:val="009A63C4"/>
    <w:rPr>
      <w:sz w:val="16"/>
      <w:szCs w:val="16"/>
    </w:rPr>
  </w:style>
  <w:style w:type="paragraph" w:styleId="Textocomentario">
    <w:name w:val="annotation text"/>
    <w:basedOn w:val="Normal"/>
    <w:link w:val="TextocomentarioCar"/>
    <w:uiPriority w:val="99"/>
    <w:unhideWhenUsed/>
    <w:rsid w:val="009A63C4"/>
    <w:pPr>
      <w:spacing w:line="240" w:lineRule="auto"/>
    </w:pPr>
    <w:rPr>
      <w:sz w:val="20"/>
      <w:szCs w:val="20"/>
    </w:rPr>
  </w:style>
  <w:style w:type="character" w:customStyle="1" w:styleId="TextocomentarioCar">
    <w:name w:val="Texto comentario Car"/>
    <w:basedOn w:val="Fuentedeprrafopredeter"/>
    <w:link w:val="Textocomentario"/>
    <w:uiPriority w:val="99"/>
    <w:rsid w:val="009A63C4"/>
    <w:rPr>
      <w:sz w:val="20"/>
      <w:szCs w:val="20"/>
    </w:rPr>
  </w:style>
  <w:style w:type="paragraph" w:styleId="Asuntodelcomentario">
    <w:name w:val="annotation subject"/>
    <w:basedOn w:val="Textocomentario"/>
    <w:next w:val="Textocomentario"/>
    <w:link w:val="AsuntodelcomentarioCar"/>
    <w:uiPriority w:val="99"/>
    <w:semiHidden/>
    <w:unhideWhenUsed/>
    <w:rsid w:val="009A63C4"/>
    <w:rPr>
      <w:b/>
      <w:bCs/>
    </w:rPr>
  </w:style>
  <w:style w:type="character" w:customStyle="1" w:styleId="AsuntodelcomentarioCar">
    <w:name w:val="Asunto del comentario Car"/>
    <w:basedOn w:val="TextocomentarioCar"/>
    <w:link w:val="Asuntodelcomentario"/>
    <w:uiPriority w:val="99"/>
    <w:semiHidden/>
    <w:rsid w:val="009A63C4"/>
    <w:rPr>
      <w:b/>
      <w:bCs/>
      <w:sz w:val="20"/>
      <w:szCs w:val="20"/>
    </w:rPr>
  </w:style>
  <w:style w:type="paragraph" w:styleId="Textodeglobo">
    <w:name w:val="Balloon Text"/>
    <w:basedOn w:val="Normal"/>
    <w:link w:val="TextodegloboCar"/>
    <w:uiPriority w:val="99"/>
    <w:semiHidden/>
    <w:unhideWhenUsed/>
    <w:rsid w:val="009A6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3C4"/>
    <w:rPr>
      <w:rFonts w:ascii="Segoe UI" w:hAnsi="Segoe UI" w:cs="Segoe UI"/>
      <w:sz w:val="18"/>
      <w:szCs w:val="18"/>
    </w:rPr>
  </w:style>
  <w:style w:type="character" w:styleId="nfasis">
    <w:name w:val="Emphasis"/>
    <w:basedOn w:val="Fuentedeprrafopredeter"/>
    <w:uiPriority w:val="20"/>
    <w:qFormat/>
    <w:rsid w:val="00257746"/>
    <w:rPr>
      <w:i/>
      <w:iCs/>
    </w:rPr>
  </w:style>
  <w:style w:type="character" w:styleId="nfasisintenso">
    <w:name w:val="Intense Emphasis"/>
    <w:basedOn w:val="Fuentedeprrafopredeter"/>
    <w:uiPriority w:val="21"/>
    <w:qFormat/>
    <w:rsid w:val="005537A9"/>
    <w:rPr>
      <w:b/>
      <w:bCs/>
      <w:i/>
      <w:iCs/>
      <w:color w:val="5B9BD5" w:themeColor="accent1"/>
    </w:rPr>
  </w:style>
  <w:style w:type="paragraph" w:styleId="Revisin">
    <w:name w:val="Revision"/>
    <w:hidden/>
    <w:uiPriority w:val="99"/>
    <w:semiHidden/>
    <w:rsid w:val="007F0773"/>
    <w:pPr>
      <w:spacing w:after="0" w:line="240" w:lineRule="auto"/>
    </w:pPr>
  </w:style>
  <w:style w:type="paragraph" w:styleId="Textonotaalfinal">
    <w:name w:val="endnote text"/>
    <w:basedOn w:val="Normal"/>
    <w:link w:val="TextonotaalfinalCar"/>
    <w:uiPriority w:val="99"/>
    <w:semiHidden/>
    <w:unhideWhenUsed/>
    <w:rsid w:val="007715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71500"/>
    <w:rPr>
      <w:sz w:val="20"/>
      <w:szCs w:val="20"/>
    </w:rPr>
  </w:style>
  <w:style w:type="character" w:styleId="Refdenotaalfinal">
    <w:name w:val="endnote reference"/>
    <w:basedOn w:val="Fuentedeprrafopredeter"/>
    <w:uiPriority w:val="99"/>
    <w:semiHidden/>
    <w:unhideWhenUsed/>
    <w:rsid w:val="00771500"/>
    <w:rPr>
      <w:vertAlign w:val="superscript"/>
    </w:rPr>
  </w:style>
  <w:style w:type="paragraph" w:styleId="Textonotapie">
    <w:name w:val="footnote text"/>
    <w:basedOn w:val="Normal"/>
    <w:link w:val="TextonotapieCar"/>
    <w:uiPriority w:val="99"/>
    <w:semiHidden/>
    <w:unhideWhenUsed/>
    <w:rsid w:val="007715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1500"/>
    <w:rPr>
      <w:sz w:val="20"/>
      <w:szCs w:val="20"/>
    </w:rPr>
  </w:style>
  <w:style w:type="character" w:styleId="Refdenotaalpie">
    <w:name w:val="footnote reference"/>
    <w:basedOn w:val="Fuentedeprrafopredeter"/>
    <w:uiPriority w:val="99"/>
    <w:semiHidden/>
    <w:unhideWhenUsed/>
    <w:rsid w:val="00771500"/>
    <w:rPr>
      <w:vertAlign w:val="superscript"/>
    </w:rPr>
  </w:style>
  <w:style w:type="character" w:customStyle="1" w:styleId="Ttulo3Car">
    <w:name w:val="Título 3 Car"/>
    <w:basedOn w:val="Fuentedeprrafopredeter"/>
    <w:link w:val="Ttulo3"/>
    <w:uiPriority w:val="9"/>
    <w:rsid w:val="008825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825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825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825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825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825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825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22701">
      <w:bodyDiv w:val="1"/>
      <w:marLeft w:val="0"/>
      <w:marRight w:val="0"/>
      <w:marTop w:val="0"/>
      <w:marBottom w:val="0"/>
      <w:divBdr>
        <w:top w:val="none" w:sz="0" w:space="0" w:color="auto"/>
        <w:left w:val="none" w:sz="0" w:space="0" w:color="auto"/>
        <w:bottom w:val="none" w:sz="0" w:space="0" w:color="auto"/>
        <w:right w:val="none" w:sz="0" w:space="0" w:color="auto"/>
      </w:divBdr>
    </w:div>
    <w:div w:id="943734821">
      <w:bodyDiv w:val="1"/>
      <w:marLeft w:val="0"/>
      <w:marRight w:val="0"/>
      <w:marTop w:val="0"/>
      <w:marBottom w:val="0"/>
      <w:divBdr>
        <w:top w:val="none" w:sz="0" w:space="0" w:color="auto"/>
        <w:left w:val="none" w:sz="0" w:space="0" w:color="auto"/>
        <w:bottom w:val="none" w:sz="0" w:space="0" w:color="auto"/>
        <w:right w:val="none" w:sz="0" w:space="0" w:color="auto"/>
      </w:divBdr>
    </w:div>
    <w:div w:id="1010177909">
      <w:bodyDiv w:val="1"/>
      <w:marLeft w:val="0"/>
      <w:marRight w:val="0"/>
      <w:marTop w:val="0"/>
      <w:marBottom w:val="0"/>
      <w:divBdr>
        <w:top w:val="none" w:sz="0" w:space="0" w:color="auto"/>
        <w:left w:val="none" w:sz="0" w:space="0" w:color="auto"/>
        <w:bottom w:val="none" w:sz="0" w:space="0" w:color="auto"/>
        <w:right w:val="none" w:sz="0" w:space="0" w:color="auto"/>
      </w:divBdr>
    </w:div>
    <w:div w:id="1052339475">
      <w:bodyDiv w:val="1"/>
      <w:marLeft w:val="0"/>
      <w:marRight w:val="0"/>
      <w:marTop w:val="0"/>
      <w:marBottom w:val="0"/>
      <w:divBdr>
        <w:top w:val="none" w:sz="0" w:space="0" w:color="auto"/>
        <w:left w:val="none" w:sz="0" w:space="0" w:color="auto"/>
        <w:bottom w:val="none" w:sz="0" w:space="0" w:color="auto"/>
        <w:right w:val="none" w:sz="0" w:space="0" w:color="auto"/>
      </w:divBdr>
    </w:div>
    <w:div w:id="19477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rms.gle/PyADwkfhbQaps5sQA" TargetMode="External"/><Relationship Id="rId5" Type="http://schemas.openxmlformats.org/officeDocument/2006/relationships/settings" Target="settings.xml"/><Relationship Id="rId10" Type="http://schemas.openxmlformats.org/officeDocument/2006/relationships/hyperlink" Target="https://forms.gle/T56BvMMoiL97uRaG9"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mailto:arbitros.pickleballspain@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arbitros.pickleballspai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858D-C160-41C4-A4FA-5887C1C8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1811</Words>
  <Characters>9964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PROYECTO Comité Nacional árbitros’23</vt:lpstr>
    </vt:vector>
  </TitlesOfParts>
  <Company>TRGASA</Company>
  <LinksUpToDate>false</LinksUpToDate>
  <CharactersWithSpaces>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Comité Nacional árbitros’23</dc:title>
  <dc:creator>Garcia Flores, Juan Carlos</dc:creator>
  <cp:lastModifiedBy>Juankar .</cp:lastModifiedBy>
  <cp:revision>12</cp:revision>
  <cp:lastPrinted>2023-09-11T17:51:00Z</cp:lastPrinted>
  <dcterms:created xsi:type="dcterms:W3CDTF">2023-03-17T17:25:00Z</dcterms:created>
  <dcterms:modified xsi:type="dcterms:W3CDTF">2023-09-11T17:51:00Z</dcterms:modified>
</cp:coreProperties>
</file>