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348C3">
      <w:pPr>
        <w:rPr>
          <w:lang w:val="en-US" w:eastAsia="zh-CN"/>
        </w:rPr>
      </w:pPr>
      <w:r>
        <w:rPr>
          <w:lang w:val="en-US" w:eastAsia="zh-CN"/>
        </w:rPr>
        <w:t>任务 2：策略回测实现</w:t>
      </w:r>
    </w:p>
    <w:p w14:paraId="263C55B4">
      <w:pPr>
        <w:rPr>
          <w:lang w:val="en-US" w:eastAsia="zh-CN"/>
        </w:rPr>
      </w:pPr>
    </w:p>
    <w:p w14:paraId="584BB8CF">
      <w:r>
        <w:rPr>
          <w:lang w:val="en-US" w:eastAsia="zh-CN"/>
        </w:rPr>
        <w:t>回测框架：使用 backtrader</w:t>
      </w:r>
    </w:p>
    <w:p w14:paraId="1EB04BE3">
      <w:pPr>
        <w:rPr>
          <w:lang w:val="en-US" w:eastAsia="zh-CN"/>
        </w:rPr>
      </w:pPr>
      <w:r>
        <w:rPr>
          <w:lang w:val="en-US" w:eastAsia="zh-CN"/>
        </w:rPr>
        <w:t>数据准备：使用</w:t>
      </w:r>
      <w:r>
        <w:rPr>
          <w:rFonts w:hint="eastAsia"/>
          <w:lang w:val="en-US" w:eastAsia="zh-CN"/>
        </w:rPr>
        <w:t>数据清洗后</w:t>
      </w:r>
      <w:r>
        <w:rPr>
          <w:lang w:val="en-US" w:eastAsia="zh-CN"/>
        </w:rPr>
        <w:t xml:space="preserve"> 生成的数据集</w:t>
      </w:r>
    </w:p>
    <w:p w14:paraId="62896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代码文件：</w:t>
      </w:r>
    </w:p>
    <w:p w14:paraId="3578C8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data_processor.py              数据处理模块（0521任务）</w:t>
      </w:r>
    </w:p>
    <w:p w14:paraId="190C9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arbitrage_strategy.py          ETF 申赎套利策略</w:t>
      </w:r>
    </w:p>
    <w:p w14:paraId="05088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backtest_main.py               主回测脚本</w:t>
      </w:r>
    </w:p>
    <w:p w14:paraId="72DA20AD">
      <w:pPr>
        <w:rPr>
          <w:rFonts w:hint="default"/>
          <w:lang w:val="en-US" w:eastAsia="zh-CN"/>
        </w:rPr>
      </w:pPr>
    </w:p>
    <w:p w14:paraId="6110CBEF">
      <w:r>
        <w:rPr>
          <w:lang w:val="en-US" w:eastAsia="zh-CN"/>
        </w:rPr>
        <w:t>ETF 申赎套利策略</w:t>
      </w:r>
    </w:p>
    <w:p w14:paraId="5692232A"/>
    <w:p w14:paraId="43FBC17A">
      <w:r>
        <w:rPr>
          <w:lang w:val="en-US" w:eastAsia="zh-CN"/>
        </w:rPr>
        <w:t>策略逻辑：</w:t>
      </w:r>
    </w:p>
    <w:p w14:paraId="6C1C4292">
      <w:r>
        <w:rPr>
          <w:lang w:val="en-US" w:eastAsia="zh-CN"/>
        </w:rPr>
        <w:t>当 ETF 的 IOPV（基金份额参考净值）与实际交易价格偏差超过阈值时触发套利</w:t>
      </w:r>
    </w:p>
    <w:p w14:paraId="4D1C2566"/>
    <w:p w14:paraId="4F200E4B">
      <w:r>
        <w:rPr>
          <w:lang w:val="en-US" w:eastAsia="zh-CN"/>
        </w:rPr>
        <w:t>数据模拟：IOPV = 成分股最新成交价的加权</w:t>
      </w:r>
    </w:p>
    <w:p w14:paraId="15679276">
      <w:r>
        <w:rPr>
          <w:lang w:val="en-US" w:eastAsia="zh-CN"/>
        </w:rPr>
        <w:t>每个 ETF 的成分股组成以及成分股数量，参考附件中的 PCF 清单</w:t>
      </w:r>
    </w:p>
    <w:p w14:paraId="1E9FEC3F"/>
    <w:p w14:paraId="77A23B00"/>
    <w:p w14:paraId="3C1878C6">
      <w:r>
        <w:rPr>
          <w:lang w:val="en-US" w:eastAsia="zh-CN"/>
        </w:rPr>
        <w:t>具体规则：</w:t>
      </w:r>
    </w:p>
    <w:p w14:paraId="4DF03E09">
      <w:r>
        <w:rPr>
          <w:lang w:val="en-US" w:eastAsia="zh-CN"/>
        </w:rPr>
        <w:t>(1) 当 ETF_Close – IOPV – 交易成本 &gt; 0 时，认为 ETF 溢价，执行：</w:t>
      </w:r>
    </w:p>
    <w:p w14:paraId="5B15D3BB"/>
    <w:p w14:paraId="70DD2EAC">
      <w:r>
        <w:rPr>
          <w:lang w:val="en-US" w:eastAsia="zh-CN"/>
        </w:rPr>
        <w:t>a. 买入一篮子成分股（此处用买入 3 个成分债券）</w:t>
      </w:r>
    </w:p>
    <w:p w14:paraId="153FDD5D"/>
    <w:p w14:paraId="073E78F6">
      <w:r>
        <w:rPr>
          <w:lang w:val="en-US" w:eastAsia="zh-CN"/>
        </w:rPr>
        <w:t>b. 申购成 ETF 份额（折算成 ETF 份额）</w:t>
      </w:r>
    </w:p>
    <w:p w14:paraId="44C9FF9E"/>
    <w:p w14:paraId="02880974">
      <w:r>
        <w:rPr>
          <w:lang w:val="en-US" w:eastAsia="zh-CN"/>
        </w:rPr>
        <w:t>c. 卖出 ETF 份额</w:t>
      </w:r>
    </w:p>
    <w:p w14:paraId="7F8F906C"/>
    <w:p w14:paraId="7ADC06ED">
      <w:r>
        <w:rPr>
          <w:lang w:val="en-US" w:eastAsia="zh-CN"/>
        </w:rPr>
        <w:t>(2) 当 IOPV – ETF_Close – 交易成本 &gt; 0，认为 ETF 折价，执行：</w:t>
      </w:r>
    </w:p>
    <w:p w14:paraId="0CD7D570"/>
    <w:p w14:paraId="02365CCA">
      <w:r>
        <w:rPr>
          <w:lang w:val="en-US" w:eastAsia="zh-CN"/>
        </w:rPr>
        <w:t>a. 买入 ETF 份额</w:t>
      </w:r>
    </w:p>
    <w:p w14:paraId="42367D7A"/>
    <w:p w14:paraId="1369E15A">
      <w:r>
        <w:rPr>
          <w:lang w:val="en-US" w:eastAsia="zh-CN"/>
        </w:rPr>
        <w:t>b. 赎回一篮子成分股（此处用 3 个成分债券）</w:t>
      </w:r>
    </w:p>
    <w:p w14:paraId="5891BDC7"/>
    <w:p w14:paraId="08891748">
      <w:pPr>
        <w:rPr>
          <w:lang w:val="en-US" w:eastAsia="zh-CN"/>
        </w:rPr>
      </w:pPr>
      <w:r>
        <w:rPr>
          <w:lang w:val="en-US" w:eastAsia="zh-CN"/>
        </w:rPr>
        <w:t>c. 卖出一篮子成分股</w:t>
      </w:r>
    </w:p>
    <w:p w14:paraId="3A1CD85C">
      <w:pPr>
        <w:rPr>
          <w:lang w:val="en-US" w:eastAsia="zh-CN"/>
        </w:rPr>
      </w:pPr>
    </w:p>
    <w:p w14:paraId="256E16D2">
      <w:r>
        <w:rPr>
          <w:lang w:val="en-US" w:eastAsia="zh-CN"/>
        </w:rPr>
        <w:t>考虑交易成本（ETF 单边交易费率万 0.5，债券交易费率万分之 0.05，本次测试不用考虑滑点）</w:t>
      </w:r>
    </w:p>
    <w:p w14:paraId="2CAD4825"/>
    <w:p w14:paraId="234A58F3">
      <w:pPr>
        <w:rPr>
          <w:rFonts w:hint="eastAsia"/>
          <w:lang w:val="en-US" w:eastAsia="zh-CN"/>
        </w:rPr>
      </w:pPr>
      <w:r>
        <w:rPr>
          <w:lang w:val="en-US" w:eastAsia="zh-CN"/>
        </w:rPr>
        <w:t>注意</w:t>
      </w:r>
      <w:r>
        <w:rPr>
          <w:rFonts w:hint="eastAsia"/>
          <w:lang w:val="en-US" w:eastAsia="zh-CN"/>
        </w:rPr>
        <w:t>：</w:t>
      </w:r>
    </w:p>
    <w:p w14:paraId="0ECA0BF2">
      <w:pPr>
        <w:rPr>
          <w:rFonts w:hint="eastAsia" w:eastAsiaTheme="minorEastAsia"/>
          <w:lang w:val="en-US" w:eastAsia="zh-CN"/>
        </w:rPr>
      </w:pPr>
      <w:r>
        <w:rPr>
          <w:lang w:val="en-US" w:eastAsia="zh-CN"/>
        </w:rPr>
        <w:t>债券成交行情是净价，未包括应计利息，实际交易结算时是全价，包括应计利息，所以在计算 IOPV 时要包括应计利息。</w:t>
      </w:r>
    </w:p>
    <w:p w14:paraId="1DA24D6C">
      <w:r>
        <w:rPr>
          <w:lang w:val="en-US" w:eastAsia="zh-CN"/>
        </w:rPr>
        <w:t>在计算申赎盈亏时，要考虑现金差额的影响。</w:t>
      </w:r>
    </w:p>
    <w:p w14:paraId="17962F37"/>
    <w:p w14:paraId="78EC9955"/>
    <w:p w14:paraId="499C7572">
      <w:r>
        <w:rPr>
          <w:lang w:val="en-US" w:eastAsia="zh-CN"/>
        </w:rPr>
        <w:t>任务实现要求：</w:t>
      </w:r>
    </w:p>
    <w:p w14:paraId="2064D39C"/>
    <w:p w14:paraId="76210937">
      <w:r>
        <w:rPr>
          <w:lang w:val="en-US" w:eastAsia="zh-CN"/>
        </w:rPr>
        <w:t>(1) 在 backtrader 中实现该策略类，并且使用历史数据进行回测</w:t>
      </w:r>
    </w:p>
    <w:p w14:paraId="2FE3D984"/>
    <w:p w14:paraId="792AFDD1">
      <w:r>
        <w:rPr>
          <w:lang w:val="en-US" w:eastAsia="zh-CN"/>
        </w:rPr>
        <w:t>(2) 可配置参数：仓位上限（策略资金上限），单次交易数量上限</w:t>
      </w:r>
    </w:p>
    <w:p w14:paraId="70EFF19A"/>
    <w:p w14:paraId="3ACFC522">
      <w:r>
        <w:rPr>
          <w:lang w:val="en-US" w:eastAsia="zh-CN"/>
        </w:rPr>
        <w:t>(3) 输出回测结果：绝对收益、年化收益、夏普比率、最大回撤、交易次数</w:t>
      </w:r>
    </w:p>
    <w:p w14:paraId="3A9A16F7"/>
    <w:p w14:paraId="7A694889">
      <w:pPr>
        <w:rPr>
          <w:lang w:val="en-US" w:eastAsia="zh-CN"/>
        </w:rPr>
      </w:pPr>
    </w:p>
    <w:p w14:paraId="1B11FF0A">
      <w:r>
        <w:rPr>
          <w:lang w:val="en-US" w:eastAsia="zh-CN"/>
        </w:rPr>
        <w:t>注意：</w:t>
      </w:r>
    </w:p>
    <w:p w14:paraId="5E535D3C">
      <w:r>
        <w:rPr>
          <w:lang w:val="en-US" w:eastAsia="zh-CN"/>
        </w:rPr>
        <w:t>ETF 申赎策略，只需要做 511130 这个 ETF</w:t>
      </w:r>
    </w:p>
    <w:p w14:paraId="59CB81DF"/>
    <w:p w14:paraId="63B74385">
      <w:r>
        <w:rPr>
          <w:lang w:val="en-US" w:eastAsia="zh-CN"/>
        </w:rPr>
        <w:t>回测期限为 2026 年 1 月 1 日到 2026 年 2 月 28 日</w:t>
      </w:r>
    </w:p>
    <w:p w14:paraId="41E5D8E3"/>
    <w:p w14:paraId="47060B27">
      <w:pPr>
        <w:rPr>
          <w:lang w:val="en-US" w:eastAsia="zh-CN"/>
        </w:rPr>
      </w:pPr>
      <w:bookmarkStart w:id="0" w:name="_GoBack"/>
      <w:bookmarkEnd w:id="0"/>
    </w:p>
    <w:p w14:paraId="52703D83">
      <w:r>
        <w:rPr>
          <w:lang w:val="en-US" w:eastAsia="zh-CN"/>
        </w:rPr>
        <w:t>附件：</w:t>
      </w:r>
    </w:p>
    <w:p w14:paraId="0379926E">
      <w:r>
        <w:rPr>
          <w:lang w:val="en-US" w:eastAsia="zh-CN"/>
        </w:rPr>
        <w:t>公告申购赎回清单 PCF.PDF</w:t>
      </w:r>
    </w:p>
    <w:p w14:paraId="31608083">
      <w:r>
        <w:rPr>
          <w:lang w:val="en-US" w:eastAsia="zh-CN"/>
        </w:rPr>
        <w:t>现金差额及 PCF 文件的历史数据、3 个成分债券的基本条款说明文件</w:t>
      </w:r>
    </w:p>
    <w:p w14:paraId="6D5FFA06"/>
    <w:p w14:paraId="7EA2BB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B5E8C4"/>
    <w:rsid w:val="373E947B"/>
    <w:rsid w:val="632522FE"/>
    <w:rsid w:val="6BFC1806"/>
    <w:rsid w:val="BFB5E8C4"/>
    <w:rsid w:val="D3FFE201"/>
    <w:rsid w:val="E7EDF95F"/>
    <w:rsid w:val="EFBFDCA7"/>
    <w:rsid w:val="EFD7B564"/>
    <w:rsid w:val="F9F722EB"/>
    <w:rsid w:val="FBBE1B3B"/>
    <w:rsid w:val="FDD5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2026-05-22T22:11:00Z</dcterms:created>
  <dc:creator>微信用户</dc:creator>
  <cp:lastModifiedBy>微信用户</cp:lastModifiedBy>
  <dcterms:modified xsi:type="dcterms:W3CDTF">2026-05-22T14:26:57Z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6A606F00FDA6301384F30F6ABDC85A58_41</vt:lpwstr>
  </property>
</Properties>
</file>