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240"/>
        <w:ind w:firstLine="0"/>
        <w:jc w:val="left"/>
      </w:pPr>
      <w:r>
        <w:rPr>
          <w:rFonts w:ascii="Times New Roman" w:hAnsi="Times New Roman"/>
          <w:b/>
          <w:i w:val="0"/>
          <w:sz w:val="24"/>
        </w:rPr>
        <w:t>2.5</w:t>
        <w:tab/>
        <w:t>Evaluasi Kualitas Citra</w:t>
      </w:r>
    </w:p>
    <w:p>
      <w:pPr>
        <w:spacing w:line="360" w:lineRule="auto" w:after="0" w:before="0"/>
        <w:ind w:firstLine="567"/>
        <w:jc w:val="both"/>
      </w:pPr>
      <w:r>
        <w:rPr>
          <w:rFonts w:ascii="Times New Roman" w:hAnsi="Times New Roman"/>
          <w:b w:val="0"/>
          <w:i w:val="0"/>
          <w:sz w:val="24"/>
        </w:rPr>
        <w:t xml:space="preserve">Evaluasi terhadap efektivitas metode restorasi citra radiografi toraks dilakukan untuk mengukur kemampuan algoritma dalam mereduksi derau sekaligus mempertahankan integritas informasi visual. Pada tingkat fidelitas fisik dan persepsi visual, pengukuran kualitas citra secara objektif umumnya menggunakan dua metrik komputasional standar, yaitu </w:t>
      </w:r>
      <w:r>
        <w:rPr>
          <w:rFonts w:ascii="Times New Roman" w:hAnsi="Times New Roman"/>
          <w:b w:val="0"/>
          <w:i/>
          <w:sz w:val="24"/>
        </w:rPr>
        <w:t>Peak Signal-to-Noise Ratio</w:t>
      </w:r>
      <w:r>
        <w:rPr>
          <w:rFonts w:ascii="Times New Roman" w:hAnsi="Times New Roman"/>
          <w:b w:val="0"/>
          <w:i w:val="0"/>
          <w:sz w:val="24"/>
        </w:rPr>
        <w:t xml:space="preserve"> (PSNR) dan </w:t>
      </w:r>
      <w:r>
        <w:rPr>
          <w:rFonts w:ascii="Times New Roman" w:hAnsi="Times New Roman"/>
          <w:b w:val="0"/>
          <w:i/>
          <w:sz w:val="24"/>
        </w:rPr>
        <w:t>Structural Similarity Index Measure</w:t>
      </w:r>
      <w:r>
        <w:rPr>
          <w:rFonts w:ascii="Times New Roman" w:hAnsi="Times New Roman"/>
          <w:b w:val="0"/>
          <w:i w:val="0"/>
          <w:sz w:val="24"/>
        </w:rPr>
        <w:t xml:space="preserve"> (SSIM).</w:t>
      </w:r>
    </w:p>
    <w:p>
      <w:pPr>
        <w:spacing w:line="360" w:lineRule="auto" w:after="80" w:before="160"/>
        <w:ind w:firstLine="0"/>
        <w:jc w:val="left"/>
      </w:pPr>
      <w:r>
        <w:rPr>
          <w:rFonts w:ascii="Times New Roman" w:hAnsi="Times New Roman"/>
          <w:b/>
          <w:i w:val="0"/>
          <w:sz w:val="24"/>
        </w:rPr>
        <w:t>2.5.1</w:t>
        <w:tab/>
        <w:t>Peak Signal-to-Noise Ratio (PSNR)</w:t>
      </w:r>
    </w:p>
    <w:p>
      <w:pPr>
        <w:spacing w:line="360" w:lineRule="auto" w:after="0" w:before="0"/>
        <w:ind w:firstLine="567"/>
        <w:jc w:val="both"/>
      </w:pPr>
      <w:r>
        <w:rPr>
          <w:rFonts w:ascii="Times New Roman" w:hAnsi="Times New Roman"/>
          <w:b w:val="0"/>
          <w:i/>
          <w:sz w:val="24"/>
        </w:rPr>
        <w:t>Peak Signal-to-Noise Ratio</w:t>
      </w:r>
      <w:r>
        <w:rPr>
          <w:rFonts w:ascii="Times New Roman" w:hAnsi="Times New Roman"/>
          <w:b w:val="0"/>
          <w:i w:val="0"/>
          <w:sz w:val="24"/>
        </w:rPr>
        <w:t xml:space="preserve"> (PSNR) merupakan metrik objektif logaritmik yang mengukur perbandingan antara daya maksimum sinyal citra terhadap daya derau yang mengontaminasinya, dinyatakan dalam satuan desibel (dB). Formulasi PSNR dihitung berdasarkan nilai galat kuadrat rata-rata (</w:t>
      </w:r>
      <w:r>
        <w:rPr>
          <w:rFonts w:ascii="Times New Roman" w:hAnsi="Times New Roman"/>
          <w:b w:val="0"/>
          <w:i/>
          <w:sz w:val="24"/>
        </w:rPr>
        <w:t>Mean Squared Error</w:t>
      </w:r>
      <w:r>
        <w:rPr>
          <w:rFonts w:ascii="Times New Roman" w:hAnsi="Times New Roman"/>
          <w:b w:val="0"/>
          <w:i w:val="0"/>
          <w:sz w:val="24"/>
        </w:rPr>
        <w:t xml:space="preserve"> atau MSE) antara citra acuan bersih dan citra hasil restorasi:</w:t>
      </w:r>
    </w:p>
    <w:p>
      <w:pPr>
        <w:spacing w:line="240" w:lineRule="auto" w:after="80" w:before="80"/>
        <w:ind w:firstLine="0"/>
        <w:jc w:val="center"/>
      </w:pPr>
      <m:oMathPara>
        <m:oMathParaPr>
          <m:jc m:val="center"/>
        </m:oMathParaPr>
        <m:oMath>
          <m:r>
            <m:rPr>
              <m:nor/>
            </m:rPr>
            <m:t>MSE</m:t>
          </m:r>
          <m:r>
            <m:t>=</m:t>
          </m:r>
          <m:f>
            <m:fPr>
              <m:type m:val="bar"/>
            </m:fPr>
            <m:num>
              <m:r>
                <m:t>1</m:t>
              </m:r>
            </m:num>
            <m:den>
              <m:r>
                <m:t>M·N</m:t>
              </m:r>
            </m:den>
          </m:f>
          <m:nary>
            <m:naryPr>
              <m:chr m:val="∑"/>
              <m:limLoc m:val="undOvr"/>
              <m:grow m:val="1"/>
              <m:subHide m:val="off"/>
              <m:supHide m:val="off"/>
            </m:naryPr>
            <m:sub>
              <m:r>
                <m:t>i=0</m:t>
              </m:r>
            </m:sub>
            <m:sup>
              <m:r>
                <m:t>M-1</m:t>
              </m:r>
            </m:sup>
            <m:e>
              <m:nary>
                <m:naryPr>
                  <m:chr m:val="∑"/>
                  <m:limLoc m:val="undOvr"/>
                  <m:grow m:val="1"/>
                  <m:subHide m:val="off"/>
                  <m:supHide m:val="off"/>
                </m:naryPr>
                <m:sub>
                  <m:r>
                    <m:t>j=0</m:t>
                  </m:r>
                </m:sub>
                <m:sup>
                  <m:r>
                    <m:t>N-1</m:t>
                  </m:r>
                </m:sup>
                <m:e>
                  <m:sSup>
                    <m:e>
                      <m:d>
                        <m:dPr>
                          <m:begChr m:val="["/>
                          <m:sepChr m:val=""/>
                          <m:endChr m:val="]"/>
                        </m:dPr>
                        <m:e>
                          <m:sSub>
                            <m:e>
                              <m:r>
                                <m:t>I</m:t>
                              </m:r>
                            </m:e>
                            <m:sub>
                              <m:r>
                                <m:rPr>
                                  <m:nor/>
                                </m:rPr>
                                <m:t>clean</m:t>
                              </m:r>
                            </m:sub>
                          </m:sSub>
                          <m:r>
                            <m:t>(</m:t>
                          </m:r>
                          <m:r>
                            <m:t>i</m:t>
                          </m:r>
                          <m:r>
                            <m:t>,</m:t>
                          </m:r>
                          <m:r>
                            <m:t>j</m:t>
                          </m:r>
                          <m:r>
                            <m:t>)</m:t>
                          </m:r>
                          <m:r>
                            <m:t>-</m:t>
                          </m:r>
                          <m:sSub>
                            <m:e>
                              <m:r>
                                <m:t>I</m:t>
                              </m:r>
                            </m:e>
                            <m:sub>
                              <m:r>
                                <m:rPr>
                                  <m:nor/>
                                </m:rPr>
                                <m:t>restored</m:t>
                              </m:r>
                            </m:sub>
                          </m:sSub>
                          <m:r>
                            <m:t>(</m:t>
                          </m:r>
                          <m:r>
                            <m:t>i</m:t>
                          </m:r>
                          <m:r>
                            <m:t>,</m:t>
                          </m:r>
                          <m:r>
                            <m:t>j</m:t>
                          </m:r>
                          <m:r>
                            <m:t>)</m:t>
                          </m:r>
                        </m:e>
                      </m:d>
                    </m:e>
                    <m:sup>
                      <m:r>
                        <m:t>2</m:t>
                      </m:r>
                    </m:sup>
                  </m:sSup>
                </m:e>
              </m:nary>
            </m:e>
          </m:nary>
        </m:oMath>
      </m:oMathPara>
    </w:p>
    <w:p>
      <w:pPr>
        <w:spacing w:line="240" w:lineRule="auto" w:after="80" w:before="80"/>
        <w:ind w:firstLine="0"/>
        <w:jc w:val="center"/>
      </w:pPr>
      <m:oMathPara>
        <m:oMathParaPr>
          <m:jc m:val="center"/>
        </m:oMathParaPr>
        <m:oMath>
          <m:r>
            <m:rPr>
              <m:nor/>
            </m:rPr>
            <m:t>PSNR</m:t>
          </m:r>
          <m:r>
            <m:t>=10·</m:t>
          </m:r>
          <m:sSub>
            <m:e>
              <m:r>
                <m:t>log</m:t>
              </m:r>
            </m:e>
            <m:sub>
              <m:r>
                <m:t>10</m:t>
              </m:r>
            </m:sub>
          </m:sSub>
          <m:r>
            <m:t>(</m:t>
          </m:r>
          <m:f>
            <m:fPr>
              <m:type m:val="bar"/>
            </m:fPr>
            <m:num>
              <m:sSubSup>
                <m:e>
                  <m:r>
                    <m:rPr>
                      <m:nor/>
                    </m:rPr>
                    <m:t>MAX</m:t>
                  </m:r>
                </m:e>
                <m:sub>
                  <m:r>
                    <m:t>I</m:t>
                  </m:r>
                </m:sub>
                <m:sup>
                  <m:r>
                    <m:t>2</m:t>
                  </m:r>
                </m:sup>
              </m:sSubSup>
            </m:num>
            <m:den>
              <m:r>
                <m:rPr>
                  <m:nor/>
                </m:rPr>
                <m:t>MSE</m:t>
              </m:r>
            </m:den>
          </m:f>
          <m:r>
            <m:t>)</m:t>
          </m:r>
        </m:oMath>
      </m:oMathPara>
    </w:p>
    <w:p>
      <w:pPr>
        <w:spacing w:line="360" w:lineRule="auto" w:after="0" w:before="0"/>
        <w:ind w:firstLine="567"/>
        <w:jc w:val="both"/>
      </w:pPr>
      <w:r>
        <w:rPr>
          <w:rFonts w:ascii="Times New Roman" w:hAnsi="Times New Roman"/>
          <w:b w:val="0"/>
          <w:i w:val="0"/>
          <w:sz w:val="24"/>
        </w:rPr>
        <w:t xml:space="preserve">di mana </w:t>
      </w:r>
      <w:r>
        <w:rPr>
          <w:rFonts w:ascii="Times New Roman" w:hAnsi="Times New Roman"/>
          <w:b w:val="0"/>
          <w:i/>
          <w:sz w:val="24"/>
        </w:rPr>
        <w:t>M</w:t>
      </w:r>
      <w:r>
        <w:rPr>
          <w:rFonts w:ascii="Times New Roman" w:hAnsi="Times New Roman"/>
          <w:b w:val="0"/>
          <w:i w:val="0"/>
          <w:sz w:val="24"/>
        </w:rPr>
        <w:t xml:space="preserve"> dan </w:t>
      </w:r>
      <w:r>
        <w:rPr>
          <w:rFonts w:ascii="Times New Roman" w:hAnsi="Times New Roman"/>
          <w:b w:val="0"/>
          <w:i/>
          <w:sz w:val="24"/>
        </w:rPr>
        <w:t>N</w:t>
      </w:r>
      <w:r>
        <w:rPr>
          <w:rFonts w:ascii="Times New Roman" w:hAnsi="Times New Roman"/>
          <w:b w:val="0"/>
          <w:i w:val="0"/>
          <w:sz w:val="24"/>
        </w:rPr>
        <w:t xml:space="preserve"> adalah dimensi spasial citra dalam baris dan kolom piksel, </w:t>
      </w:r>
      <w:r>
        <w:rPr>
          <w:rFonts w:ascii="Times New Roman" w:hAnsi="Times New Roman"/>
          <w:b w:val="0"/>
          <w:i/>
          <w:sz w:val="24"/>
        </w:rPr>
        <w:t>I</w:t>
      </w:r>
      <w:r>
        <w:rPr>
          <w:rFonts w:ascii="Times New Roman" w:hAnsi="Times New Roman"/>
          <w:b w:val="0"/>
          <w:i w:val="0"/>
          <w:sz w:val="24"/>
          <w:vertAlign w:val="subscript"/>
        </w:rPr>
        <w:t>clean</w:t>
      </w:r>
      <w:r>
        <w:rPr>
          <w:rFonts w:ascii="Times New Roman" w:hAnsi="Times New Roman"/>
          <w:b w:val="0"/>
          <w:i w:val="0"/>
          <w:sz w:val="24"/>
        </w:rPr>
        <w:t xml:space="preserve"> (</w:t>
      </w:r>
      <w:r>
        <w:rPr>
          <w:rFonts w:ascii="Times New Roman" w:hAnsi="Times New Roman"/>
          <w:b w:val="0"/>
          <w:i/>
          <w:sz w:val="24"/>
        </w:rPr>
        <w:t>i</w:t>
      </w:r>
      <w:r>
        <w:rPr>
          <w:rFonts w:ascii="Times New Roman" w:hAnsi="Times New Roman"/>
          <w:b w:val="0"/>
          <w:i w:val="0"/>
          <w:sz w:val="24"/>
        </w:rPr>
        <w:t xml:space="preserve">, </w:t>
      </w:r>
      <w:r>
        <w:rPr>
          <w:rFonts w:ascii="Times New Roman" w:hAnsi="Times New Roman"/>
          <w:b w:val="0"/>
          <w:i/>
          <w:sz w:val="24"/>
        </w:rPr>
        <w:t>j</w:t>
      </w:r>
      <w:r>
        <w:rPr>
          <w:rFonts w:ascii="Times New Roman" w:hAnsi="Times New Roman"/>
          <w:b w:val="0"/>
          <w:i w:val="0"/>
          <w:sz w:val="24"/>
        </w:rPr>
        <w:t>) adalah intensitas piksel citra acuan bersih pada koordinat (</w:t>
      </w:r>
      <w:r>
        <w:rPr>
          <w:rFonts w:ascii="Times New Roman" w:hAnsi="Times New Roman"/>
          <w:b w:val="0"/>
          <w:i/>
          <w:sz w:val="24"/>
        </w:rPr>
        <w:t>i</w:t>
      </w:r>
      <w:r>
        <w:rPr>
          <w:rFonts w:ascii="Times New Roman" w:hAnsi="Times New Roman"/>
          <w:b w:val="0"/>
          <w:i w:val="0"/>
          <w:sz w:val="24"/>
        </w:rPr>
        <w:t xml:space="preserve">, </w:t>
      </w:r>
      <w:r>
        <w:rPr>
          <w:rFonts w:ascii="Times New Roman" w:hAnsi="Times New Roman"/>
          <w:b w:val="0"/>
          <w:i/>
          <w:sz w:val="24"/>
        </w:rPr>
        <w:t>j</w:t>
      </w:r>
      <w:r>
        <w:rPr>
          <w:rFonts w:ascii="Times New Roman" w:hAnsi="Times New Roman"/>
          <w:b w:val="0"/>
          <w:i w:val="0"/>
          <w:sz w:val="24"/>
        </w:rPr>
        <w:t xml:space="preserve">), </w:t>
      </w:r>
      <w:r>
        <w:rPr>
          <w:rFonts w:ascii="Times New Roman" w:hAnsi="Times New Roman"/>
          <w:b w:val="0"/>
          <w:i/>
          <w:sz w:val="24"/>
        </w:rPr>
        <w:t>I</w:t>
      </w:r>
      <w:r>
        <w:rPr>
          <w:rFonts w:ascii="Times New Roman" w:hAnsi="Times New Roman"/>
          <w:b w:val="0"/>
          <w:i w:val="0"/>
          <w:sz w:val="24"/>
          <w:vertAlign w:val="subscript"/>
        </w:rPr>
        <w:t>restored</w:t>
      </w:r>
      <w:r>
        <w:rPr>
          <w:rFonts w:ascii="Times New Roman" w:hAnsi="Times New Roman"/>
          <w:b w:val="0"/>
          <w:i w:val="0"/>
          <w:sz w:val="24"/>
        </w:rPr>
        <w:t xml:space="preserve"> (</w:t>
      </w:r>
      <w:r>
        <w:rPr>
          <w:rFonts w:ascii="Times New Roman" w:hAnsi="Times New Roman"/>
          <w:b w:val="0"/>
          <w:i/>
          <w:sz w:val="24"/>
        </w:rPr>
        <w:t>i</w:t>
      </w:r>
      <w:r>
        <w:rPr>
          <w:rFonts w:ascii="Times New Roman" w:hAnsi="Times New Roman"/>
          <w:b w:val="0"/>
          <w:i w:val="0"/>
          <w:sz w:val="24"/>
        </w:rPr>
        <w:t xml:space="preserve">, </w:t>
      </w:r>
      <w:r>
        <w:rPr>
          <w:rFonts w:ascii="Times New Roman" w:hAnsi="Times New Roman"/>
          <w:b w:val="0"/>
          <w:i/>
          <w:sz w:val="24"/>
        </w:rPr>
        <w:t>j</w:t>
      </w:r>
      <w:r>
        <w:rPr>
          <w:rFonts w:ascii="Times New Roman" w:hAnsi="Times New Roman"/>
          <w:b w:val="0"/>
          <w:i w:val="0"/>
          <w:sz w:val="24"/>
        </w:rPr>
        <w:t>) adalah intensitas piksel citra hasil restorasi, dan MAX</w:t>
      </w:r>
      <w:r>
        <w:rPr>
          <w:rFonts w:ascii="Times New Roman" w:hAnsi="Times New Roman"/>
          <w:b w:val="0"/>
          <w:i/>
          <w:sz w:val="24"/>
          <w:vertAlign w:val="subscript"/>
        </w:rPr>
        <w:t>I</w:t>
      </w:r>
      <w:r>
        <w:rPr>
          <w:rFonts w:ascii="Times New Roman" w:hAnsi="Times New Roman"/>
          <w:b w:val="0"/>
          <w:i w:val="0"/>
          <w:sz w:val="24"/>
        </w:rPr>
        <w:t xml:space="preserve"> melambangkan nilai intensitas puncak yang dapat dicapai berdasarkan kedalaman bit citra (bernilai 255 pada citra 8-bit, atau 4095 pada citra radiografi digital 12-bit).</w:t>
      </w:r>
    </w:p>
    <w:p>
      <w:pPr>
        <w:spacing w:line="360" w:lineRule="auto" w:after="0" w:before="0"/>
        <w:ind w:firstLine="567"/>
        <w:jc w:val="both"/>
      </w:pPr>
      <w:r>
        <w:rPr>
          <w:rFonts w:ascii="Times New Roman" w:hAnsi="Times New Roman"/>
          <w:b w:val="0"/>
          <w:i w:val="0"/>
          <w:sz w:val="24"/>
        </w:rPr>
        <w:t>Nilai PSNR yang semakin tinggi merepresentasikan kebersihan citra yang semakin baik dari derau. Kendati demikian, PSNR memiliki keterbatasan mendasar karena menghitung deviasi intensitas secara independen per piksel tanpa memperhitungkan korelasi spasial antar-piksel maupun karakteristik persepsi sistem visual manusia.</w:t>
      </w:r>
    </w:p>
    <w:p>
      <w:pPr>
        <w:spacing w:line="360" w:lineRule="auto" w:after="80" w:before="160"/>
        <w:ind w:firstLine="0"/>
        <w:jc w:val="left"/>
      </w:pPr>
      <w:r>
        <w:rPr>
          <w:rFonts w:ascii="Times New Roman" w:hAnsi="Times New Roman"/>
          <w:b/>
          <w:i w:val="0"/>
          <w:sz w:val="24"/>
        </w:rPr>
        <w:t>2.5.2</w:t>
        <w:tab/>
        <w:t>Structural Similarity Index Measure (SSIM)</w:t>
      </w:r>
    </w:p>
    <w:p>
      <w:pPr>
        <w:spacing w:line="360" w:lineRule="auto" w:after="0" w:before="0"/>
        <w:ind w:firstLine="567"/>
        <w:jc w:val="both"/>
      </w:pPr>
      <w:r>
        <w:rPr>
          <w:rFonts w:ascii="Times New Roman" w:hAnsi="Times New Roman"/>
          <w:b w:val="0"/>
          <w:i w:val="0"/>
          <w:sz w:val="24"/>
        </w:rPr>
        <w:t xml:space="preserve">Untuk mengatasi keterbatasan metrik berbasis piksel independen, </w:t>
      </w:r>
      <w:r>
        <w:rPr>
          <w:rFonts w:ascii="Times New Roman" w:hAnsi="Times New Roman"/>
          <w:b w:val="0"/>
          <w:i/>
          <w:sz w:val="24"/>
        </w:rPr>
        <w:t>Structural Similarity Index Measure</w:t>
      </w:r>
      <w:r>
        <w:rPr>
          <w:rFonts w:ascii="Times New Roman" w:hAnsi="Times New Roman"/>
          <w:b w:val="0"/>
          <w:i w:val="0"/>
          <w:sz w:val="24"/>
        </w:rPr>
        <w:t xml:space="preserve"> (SSIM) dikembangkan guna menilai kemiripan struktural antara dua citra berdasarkan pemodelan persepsi sistem visual manusia (</w:t>
      </w:r>
      <w:r>
        <w:rPr>
          <w:rFonts w:ascii="Times New Roman" w:hAnsi="Times New Roman"/>
          <w:b w:val="0"/>
          <w:i/>
          <w:sz w:val="24"/>
        </w:rPr>
        <w:t>Human Visual System</w:t>
      </w:r>
      <w:r>
        <w:rPr>
          <w:rFonts w:ascii="Times New Roman" w:hAnsi="Times New Roman"/>
          <w:b w:val="0"/>
          <w:i w:val="0"/>
          <w:sz w:val="24"/>
        </w:rPr>
        <w:t xml:space="preserve"> atau HVS) (Wang </w:t>
      </w:r>
      <w:r>
        <w:rPr>
          <w:rFonts w:ascii="Times New Roman" w:hAnsi="Times New Roman"/>
          <w:b w:val="0"/>
          <w:i/>
          <w:sz w:val="24"/>
        </w:rPr>
        <w:t>et al.</w:t>
      </w:r>
      <w:r>
        <w:rPr>
          <w:rFonts w:ascii="Times New Roman" w:hAnsi="Times New Roman"/>
          <w:b w:val="0"/>
          <w:i w:val="0"/>
          <w:sz w:val="24"/>
        </w:rPr>
        <w:t>, 2004). SSIM mengukur kualitas citra dengan mengombinasikan tiga parameter komparasi independen, yaitu luminansi, kontras, dan struktur:</w:t>
      </w:r>
    </w:p>
    <w:p>
      <w:pPr>
        <w:spacing w:line="240" w:lineRule="auto" w:after="80" w:before="80"/>
        <w:ind w:firstLine="0"/>
        <w:jc w:val="center"/>
      </w:pPr>
      <m:oMathPara>
        <m:oMathParaPr>
          <m:jc m:val="center"/>
        </m:oMathParaPr>
        <m:oMath>
          <m:r>
            <m:rPr>
              <m:nor/>
            </m:rPr>
            <m:t>SSIM</m:t>
          </m:r>
          <m:r>
            <m:t>(x,y)=</m:t>
          </m:r>
          <m:f>
            <m:fPr>
              <m:type m:val="bar"/>
            </m:fPr>
            <m:num>
              <m:d>
                <m:dPr>
                  <m:sepChr m:val=""/>
                </m:dPr>
                <m:e>
                  <m:r>
                    <m:t>2</m:t>
                  </m:r>
                  <m:sSub>
                    <m:e>
                      <m:r>
                        <m:t>μ</m:t>
                      </m:r>
                    </m:e>
                    <m:sub>
                      <m:r>
                        <m:t>x</m:t>
                      </m:r>
                    </m:sub>
                  </m:sSub>
                  <m:sSub>
                    <m:e>
                      <m:r>
                        <m:t>μ</m:t>
                      </m:r>
                    </m:e>
                    <m:sub>
                      <m:r>
                        <m:t>y</m:t>
                      </m:r>
                    </m:sub>
                  </m:sSub>
                  <m:r>
                    <m:t>+</m:t>
                  </m:r>
                  <m:sSub>
                    <m:e>
                      <m:r>
                        <m:t>C</m:t>
                      </m:r>
                    </m:e>
                    <m:sub>
                      <m:r>
                        <m:t>1</m:t>
                      </m:r>
                    </m:sub>
                  </m:sSub>
                  <m:r>
                    <m:t>)</m:t>
                  </m:r>
                  <m:r>
                    <m:t>(</m:t>
                  </m:r>
                  <m:r>
                    <m:t>2</m:t>
                  </m:r>
                  <m:sSub>
                    <m:e>
                      <m:r>
                        <m:t>σ</m:t>
                      </m:r>
                    </m:e>
                    <m:sub>
                      <m:r>
                        <m:t>xy</m:t>
                      </m:r>
                    </m:sub>
                  </m:sSub>
                  <m:r>
                    <m:t>+</m:t>
                  </m:r>
                  <m:sSub>
                    <m:e>
                      <m:r>
                        <m:t>C</m:t>
                      </m:r>
                    </m:e>
                    <m:sub>
                      <m:r>
                        <m:t>2</m:t>
                      </m:r>
                    </m:sub>
                  </m:sSub>
                </m:e>
              </m:d>
            </m:num>
            <m:den>
              <m:d>
                <m:dPr>
                  <m:sepChr m:val=""/>
                </m:dPr>
                <m:e>
                  <m:sSubSup>
                    <m:e>
                      <m:r>
                        <m:t>μ</m:t>
                      </m:r>
                    </m:e>
                    <m:sub>
                      <m:r>
                        <m:t>x</m:t>
                      </m:r>
                    </m:sub>
                    <m:sup>
                      <m:r>
                        <m:t>2</m:t>
                      </m:r>
                    </m:sup>
                  </m:sSubSup>
                  <m:r>
                    <m:t>+</m:t>
                  </m:r>
                  <m:sSubSup>
                    <m:e>
                      <m:r>
                        <m:t>μ</m:t>
                      </m:r>
                    </m:e>
                    <m:sub>
                      <m:r>
                        <m:t>y</m:t>
                      </m:r>
                    </m:sub>
                    <m:sup>
                      <m:r>
                        <m:t>2</m:t>
                      </m:r>
                    </m:sup>
                  </m:sSubSup>
                  <m:r>
                    <m:t>+</m:t>
                  </m:r>
                  <m:sSub>
                    <m:e>
                      <m:r>
                        <m:t>C</m:t>
                      </m:r>
                    </m:e>
                    <m:sub>
                      <m:r>
                        <m:t>1</m:t>
                      </m:r>
                    </m:sub>
                  </m:sSub>
                  <m:r>
                    <m:t>)</m:t>
                  </m:r>
                  <m:r>
                    <m:t>(</m:t>
                  </m:r>
                  <m:sSubSup>
                    <m:e>
                      <m:r>
                        <m:t>σ</m:t>
                      </m:r>
                    </m:e>
                    <m:sub>
                      <m:r>
                        <m:t>x</m:t>
                      </m:r>
                    </m:sub>
                    <m:sup>
                      <m:r>
                        <m:t>2</m:t>
                      </m:r>
                    </m:sup>
                  </m:sSubSup>
                  <m:r>
                    <m:t>+</m:t>
                  </m:r>
                  <m:sSubSup>
                    <m:e>
                      <m:r>
                        <m:t>σ</m:t>
                      </m:r>
                    </m:e>
                    <m:sub>
                      <m:r>
                        <m:t>y</m:t>
                      </m:r>
                    </m:sub>
                    <m:sup>
                      <m:r>
                        <m:t>2</m:t>
                      </m:r>
                    </m:sup>
                  </m:sSubSup>
                  <m:r>
                    <m:t>+</m:t>
                  </m:r>
                  <m:sSub>
                    <m:e>
                      <m:r>
                        <m:t>C</m:t>
                      </m:r>
                    </m:e>
                    <m:sub>
                      <m:r>
                        <m:t>2</m:t>
                      </m:r>
                    </m:sub>
                  </m:sSub>
                </m:e>
              </m:d>
            </m:den>
          </m:f>
        </m:oMath>
      </m:oMathPara>
    </w:p>
    <w:p>
      <w:pPr>
        <w:spacing w:line="360" w:lineRule="auto" w:after="0" w:before="0"/>
        <w:ind w:firstLine="567"/>
        <w:jc w:val="both"/>
      </w:pPr>
      <w:r>
        <w:rPr>
          <w:rFonts w:ascii="Times New Roman" w:hAnsi="Times New Roman"/>
          <w:b w:val="0"/>
          <w:i w:val="0"/>
          <w:sz w:val="24"/>
        </w:rPr>
        <w:t xml:space="preserve">di mana </w:t>
      </w:r>
      <w:r>
        <w:rPr>
          <w:rFonts w:ascii="Times New Roman" w:hAnsi="Times New Roman"/>
          <w:b w:val="0"/>
          <w:i/>
          <w:sz w:val="24"/>
        </w:rPr>
        <w:t>μ</w:t>
      </w:r>
      <w:r>
        <w:rPr>
          <w:rFonts w:ascii="Times New Roman" w:hAnsi="Times New Roman"/>
          <w:b w:val="0"/>
          <w:i/>
          <w:sz w:val="24"/>
          <w:vertAlign w:val="subscript"/>
        </w:rPr>
        <w:t>x</w:t>
      </w:r>
      <w:r>
        <w:rPr>
          <w:rFonts w:ascii="Times New Roman" w:hAnsi="Times New Roman"/>
          <w:b w:val="0"/>
          <w:i w:val="0"/>
          <w:sz w:val="24"/>
        </w:rPr>
        <w:t xml:space="preserve"> dan </w:t>
      </w:r>
      <w:r>
        <w:rPr>
          <w:rFonts w:ascii="Times New Roman" w:hAnsi="Times New Roman"/>
          <w:b w:val="0"/>
          <w:i/>
          <w:sz w:val="24"/>
        </w:rPr>
        <w:t>μ</w:t>
      </w:r>
      <w:r>
        <w:rPr>
          <w:rFonts w:ascii="Times New Roman" w:hAnsi="Times New Roman"/>
          <w:b w:val="0"/>
          <w:i/>
          <w:sz w:val="24"/>
          <w:vertAlign w:val="subscript"/>
        </w:rPr>
        <w:t>y</w:t>
      </w:r>
      <w:r>
        <w:rPr>
          <w:rFonts w:ascii="Times New Roman" w:hAnsi="Times New Roman"/>
          <w:b w:val="0"/>
          <w:i w:val="0"/>
          <w:sz w:val="24"/>
        </w:rPr>
        <w:t xml:space="preserve"> adalah rata-rata intensitas lokal pada jendela cuplikan citra acuan </w:t>
      </w:r>
      <w:r>
        <w:rPr>
          <w:rFonts w:ascii="Times New Roman" w:hAnsi="Times New Roman"/>
          <w:b w:val="0"/>
          <w:i/>
          <w:sz w:val="24"/>
        </w:rPr>
        <w:t>x</w:t>
      </w:r>
      <w:r>
        <w:rPr>
          <w:rFonts w:ascii="Times New Roman" w:hAnsi="Times New Roman"/>
          <w:b w:val="0"/>
          <w:i w:val="0"/>
          <w:sz w:val="24"/>
        </w:rPr>
        <w:t xml:space="preserve"> dan citra hasil restorasi </w:t>
      </w:r>
      <w:r>
        <w:rPr>
          <w:rFonts w:ascii="Times New Roman" w:hAnsi="Times New Roman"/>
          <w:b w:val="0"/>
          <w:i/>
          <w:sz w:val="24"/>
        </w:rPr>
        <w:t>y</w:t>
      </w:r>
      <w:r>
        <w:rPr>
          <w:rFonts w:ascii="Times New Roman" w:hAnsi="Times New Roman"/>
          <w:b w:val="0"/>
          <w:i w:val="0"/>
          <w:sz w:val="24"/>
        </w:rPr>
        <w:t xml:space="preserve">, </w:t>
      </w:r>
      <w:r>
        <w:rPr>
          <w:rFonts w:ascii="Times New Roman" w:hAnsi="Times New Roman"/>
          <w:b w:val="0"/>
          <w:i/>
          <w:sz w:val="24"/>
        </w:rPr>
        <w:t>σ</w:t>
      </w:r>
      <w:r>
        <w:rPr>
          <w:rFonts w:ascii="Times New Roman" w:hAnsi="Times New Roman"/>
          <w:b w:val="0"/>
          <w:i/>
          <w:sz w:val="24"/>
          <w:vertAlign w:val="subscript"/>
        </w:rPr>
        <w:t>x</w:t>
      </w:r>
      <w:r>
        <w:rPr>
          <w:rFonts w:ascii="Times New Roman" w:hAnsi="Times New Roman"/>
          <w:b w:val="0"/>
          <w:i w:val="0"/>
          <w:sz w:val="24"/>
          <w:vertAlign w:val="superscript"/>
        </w:rPr>
        <w:t>2</w:t>
      </w:r>
      <w:r>
        <w:rPr>
          <w:rFonts w:ascii="Times New Roman" w:hAnsi="Times New Roman"/>
          <w:b w:val="0"/>
          <w:i w:val="0"/>
          <w:sz w:val="24"/>
        </w:rPr>
        <w:t xml:space="preserve"> dan </w:t>
      </w:r>
      <w:r>
        <w:rPr>
          <w:rFonts w:ascii="Times New Roman" w:hAnsi="Times New Roman"/>
          <w:b w:val="0"/>
          <w:i/>
          <w:sz w:val="24"/>
        </w:rPr>
        <w:t>σ</w:t>
      </w:r>
      <w:r>
        <w:rPr>
          <w:rFonts w:ascii="Times New Roman" w:hAnsi="Times New Roman"/>
          <w:b w:val="0"/>
          <w:i/>
          <w:sz w:val="24"/>
          <w:vertAlign w:val="subscript"/>
        </w:rPr>
        <w:t>y</w:t>
      </w:r>
      <w:r>
        <w:rPr>
          <w:rFonts w:ascii="Times New Roman" w:hAnsi="Times New Roman"/>
          <w:b w:val="0"/>
          <w:i w:val="0"/>
          <w:sz w:val="24"/>
          <w:vertAlign w:val="superscript"/>
        </w:rPr>
        <w:t>2</w:t>
      </w:r>
      <w:r>
        <w:rPr>
          <w:rFonts w:ascii="Times New Roman" w:hAnsi="Times New Roman"/>
          <w:b w:val="0"/>
          <w:i w:val="0"/>
          <w:sz w:val="24"/>
        </w:rPr>
        <w:t xml:space="preserve"> merepresentasikan varians intensitas lokal yang mencerminkan kontras, </w:t>
      </w:r>
      <w:r>
        <w:rPr>
          <w:rFonts w:ascii="Times New Roman" w:hAnsi="Times New Roman"/>
          <w:b w:val="0"/>
          <w:i/>
          <w:sz w:val="24"/>
        </w:rPr>
        <w:t>σ</w:t>
      </w:r>
      <w:r>
        <w:rPr>
          <w:rFonts w:ascii="Times New Roman" w:hAnsi="Times New Roman"/>
          <w:b w:val="0"/>
          <w:i/>
          <w:sz w:val="24"/>
          <w:vertAlign w:val="subscript"/>
        </w:rPr>
        <w:t>xy</w:t>
      </w:r>
      <w:r>
        <w:rPr>
          <w:rFonts w:ascii="Times New Roman" w:hAnsi="Times New Roman"/>
          <w:b w:val="0"/>
          <w:i w:val="0"/>
          <w:sz w:val="24"/>
        </w:rPr>
        <w:t xml:space="preserve"> adalah kovarians intensitas antara </w:t>
      </w:r>
      <w:r>
        <w:rPr>
          <w:rFonts w:ascii="Times New Roman" w:hAnsi="Times New Roman"/>
          <w:b w:val="0"/>
          <w:i/>
          <w:sz w:val="24"/>
        </w:rPr>
        <w:t>x</w:t>
      </w:r>
      <w:r>
        <w:rPr>
          <w:rFonts w:ascii="Times New Roman" w:hAnsi="Times New Roman"/>
          <w:b w:val="0"/>
          <w:i w:val="0"/>
          <w:sz w:val="24"/>
        </w:rPr>
        <w:t xml:space="preserve"> dan </w:t>
      </w:r>
      <w:r>
        <w:rPr>
          <w:rFonts w:ascii="Times New Roman" w:hAnsi="Times New Roman"/>
          <w:b w:val="0"/>
          <w:i/>
          <w:sz w:val="24"/>
        </w:rPr>
        <w:t>y</w:t>
      </w:r>
      <w:r>
        <w:rPr>
          <w:rFonts w:ascii="Times New Roman" w:hAnsi="Times New Roman"/>
          <w:b w:val="0"/>
          <w:i w:val="0"/>
          <w:sz w:val="24"/>
        </w:rPr>
        <w:t xml:space="preserve"> yang mengukur korelasi struktur lokal, serta </w:t>
      </w:r>
      <w:r>
        <w:rPr>
          <w:rFonts w:ascii="Times New Roman" w:hAnsi="Times New Roman"/>
          <w:b w:val="0"/>
          <w:i/>
          <w:sz w:val="24"/>
        </w:rPr>
        <w:t>C</w:t>
      </w:r>
      <w:r>
        <w:rPr>
          <w:rFonts w:ascii="Times New Roman" w:hAnsi="Times New Roman"/>
          <w:b w:val="0"/>
          <w:i w:val="0"/>
          <w:sz w:val="24"/>
          <w:vertAlign w:val="subscript"/>
        </w:rPr>
        <w:t>1</w:t>
      </w:r>
      <w:r>
        <w:rPr>
          <w:rFonts w:ascii="Times New Roman" w:hAnsi="Times New Roman"/>
          <w:b w:val="0"/>
          <w:i w:val="0"/>
          <w:sz w:val="24"/>
        </w:rPr>
        <w:t xml:space="preserve"> = (</w:t>
      </w:r>
      <w:r>
        <w:rPr>
          <w:rFonts w:ascii="Times New Roman" w:hAnsi="Times New Roman"/>
          <w:b w:val="0"/>
          <w:i/>
          <w:sz w:val="24"/>
        </w:rPr>
        <w:t>K</w:t>
      </w:r>
      <w:r>
        <w:rPr>
          <w:rFonts w:ascii="Times New Roman" w:hAnsi="Times New Roman"/>
          <w:b w:val="0"/>
          <w:i w:val="0"/>
          <w:sz w:val="24"/>
          <w:vertAlign w:val="subscript"/>
        </w:rPr>
        <w:t>1</w:t>
      </w:r>
      <w:r>
        <w:rPr>
          <w:rFonts w:ascii="Times New Roman" w:hAnsi="Times New Roman"/>
          <w:b w:val="0"/>
          <w:i/>
          <w:sz w:val="24"/>
        </w:rPr>
        <w:t>L</w:t>
      </w:r>
      <w:r>
        <w:rPr>
          <w:rFonts w:ascii="Times New Roman" w:hAnsi="Times New Roman"/>
          <w:b w:val="0"/>
          <w:i w:val="0"/>
          <w:sz w:val="24"/>
        </w:rPr>
        <w:t>)</w:t>
      </w:r>
      <w:r>
        <w:rPr>
          <w:rFonts w:ascii="Times New Roman" w:hAnsi="Times New Roman"/>
          <w:b w:val="0"/>
          <w:i w:val="0"/>
          <w:sz w:val="24"/>
          <w:vertAlign w:val="superscript"/>
        </w:rPr>
        <w:t>2</w:t>
      </w:r>
      <w:r>
        <w:rPr>
          <w:rFonts w:ascii="Times New Roman" w:hAnsi="Times New Roman"/>
          <w:b w:val="0"/>
          <w:i w:val="0"/>
          <w:sz w:val="24"/>
        </w:rPr>
        <w:t xml:space="preserve"> dan </w:t>
      </w:r>
      <w:r>
        <w:rPr>
          <w:rFonts w:ascii="Times New Roman" w:hAnsi="Times New Roman"/>
          <w:b w:val="0"/>
          <w:i/>
          <w:sz w:val="24"/>
        </w:rPr>
        <w:t>C</w:t>
      </w:r>
      <w:r>
        <w:rPr>
          <w:rFonts w:ascii="Times New Roman" w:hAnsi="Times New Roman"/>
          <w:b w:val="0"/>
          <w:i w:val="0"/>
          <w:sz w:val="24"/>
          <w:vertAlign w:val="subscript"/>
        </w:rPr>
        <w:t>2</w:t>
      </w:r>
      <w:r>
        <w:rPr>
          <w:rFonts w:ascii="Times New Roman" w:hAnsi="Times New Roman"/>
          <w:b w:val="0"/>
          <w:i w:val="0"/>
          <w:sz w:val="24"/>
        </w:rPr>
        <w:t xml:space="preserve"> = (</w:t>
      </w:r>
      <w:r>
        <w:rPr>
          <w:rFonts w:ascii="Times New Roman" w:hAnsi="Times New Roman"/>
          <w:b w:val="0"/>
          <w:i/>
          <w:sz w:val="24"/>
        </w:rPr>
        <w:t>K</w:t>
      </w:r>
      <w:r>
        <w:rPr>
          <w:rFonts w:ascii="Times New Roman" w:hAnsi="Times New Roman"/>
          <w:b w:val="0"/>
          <w:i w:val="0"/>
          <w:sz w:val="24"/>
          <w:vertAlign w:val="subscript"/>
        </w:rPr>
        <w:t>2</w:t>
      </w:r>
      <w:r>
        <w:rPr>
          <w:rFonts w:ascii="Times New Roman" w:hAnsi="Times New Roman"/>
          <w:b w:val="0"/>
          <w:i/>
          <w:sz w:val="24"/>
        </w:rPr>
        <w:t>L</w:t>
      </w:r>
      <w:r>
        <w:rPr>
          <w:rFonts w:ascii="Times New Roman" w:hAnsi="Times New Roman"/>
          <w:b w:val="0"/>
          <w:i w:val="0"/>
          <w:sz w:val="24"/>
        </w:rPr>
        <w:t>)</w:t>
      </w:r>
      <w:r>
        <w:rPr>
          <w:rFonts w:ascii="Times New Roman" w:hAnsi="Times New Roman"/>
          <w:b w:val="0"/>
          <w:i w:val="0"/>
          <w:sz w:val="24"/>
          <w:vertAlign w:val="superscript"/>
        </w:rPr>
        <w:t>2</w:t>
      </w:r>
      <w:r>
        <w:rPr>
          <w:rFonts w:ascii="Times New Roman" w:hAnsi="Times New Roman"/>
          <w:b w:val="0"/>
          <w:i w:val="0"/>
          <w:sz w:val="24"/>
        </w:rPr>
        <w:t xml:space="preserve"> merupakan konstanta penstabil numerik untuk mencegah pembagian dengan nol saat penyebut bernilai sangat kecil, dengan </w:t>
      </w:r>
      <w:r>
        <w:rPr>
          <w:rFonts w:ascii="Times New Roman" w:hAnsi="Times New Roman"/>
          <w:b w:val="0"/>
          <w:i/>
          <w:sz w:val="24"/>
        </w:rPr>
        <w:t>L</w:t>
      </w:r>
      <w:r>
        <w:rPr>
          <w:rFonts w:ascii="Times New Roman" w:hAnsi="Times New Roman"/>
          <w:b w:val="0"/>
          <w:i w:val="0"/>
          <w:sz w:val="24"/>
        </w:rPr>
        <w:t xml:space="preserve"> adalah rentang dinamis piksel serta nilai konvensi </w:t>
      </w:r>
      <w:r>
        <w:rPr>
          <w:rFonts w:ascii="Times New Roman" w:hAnsi="Times New Roman"/>
          <w:b w:val="0"/>
          <w:i/>
          <w:sz w:val="24"/>
        </w:rPr>
        <w:t>K</w:t>
      </w:r>
      <w:r>
        <w:rPr>
          <w:rFonts w:ascii="Times New Roman" w:hAnsi="Times New Roman"/>
          <w:b w:val="0"/>
          <w:i w:val="0"/>
          <w:sz w:val="24"/>
          <w:vertAlign w:val="subscript"/>
        </w:rPr>
        <w:t>1</w:t>
      </w:r>
      <w:r>
        <w:rPr>
          <w:rFonts w:ascii="Times New Roman" w:hAnsi="Times New Roman"/>
          <w:b w:val="0"/>
          <w:i w:val="0"/>
          <w:sz w:val="24"/>
        </w:rPr>
        <w:t xml:space="preserve"> = 0,01 dan </w:t>
      </w:r>
      <w:r>
        <w:rPr>
          <w:rFonts w:ascii="Times New Roman" w:hAnsi="Times New Roman"/>
          <w:b w:val="0"/>
          <w:i/>
          <w:sz w:val="24"/>
        </w:rPr>
        <w:t>K</w:t>
      </w:r>
      <w:r>
        <w:rPr>
          <w:rFonts w:ascii="Times New Roman" w:hAnsi="Times New Roman"/>
          <w:b w:val="0"/>
          <w:i w:val="0"/>
          <w:sz w:val="24"/>
          <w:vertAlign w:val="subscript"/>
        </w:rPr>
        <w:t>2</w:t>
      </w:r>
      <w:r>
        <w:rPr>
          <w:rFonts w:ascii="Times New Roman" w:hAnsi="Times New Roman"/>
          <w:b w:val="0"/>
          <w:i w:val="0"/>
          <w:sz w:val="24"/>
        </w:rPr>
        <w:t xml:space="preserve"> = 0,03.</w:t>
      </w:r>
    </w:p>
    <w:p>
      <w:pPr>
        <w:spacing w:line="360" w:lineRule="auto" w:after="0" w:before="0"/>
        <w:ind w:firstLine="567"/>
        <w:jc w:val="both"/>
      </w:pPr>
      <w:r>
        <w:rPr>
          <w:rFonts w:ascii="Times New Roman" w:hAnsi="Times New Roman"/>
          <w:b w:val="0"/>
          <w:i w:val="0"/>
          <w:sz w:val="24"/>
        </w:rPr>
        <w:t>Skor SSIM berada pada rentang 0 hingga 1, dengan nilai 1 menandakan kemiripan struktur geometris yang sempurna terhadap citra acuan. Karena memanfaatkan jendela lokal (</w:t>
      </w:r>
      <w:r>
        <w:rPr>
          <w:rFonts w:ascii="Times New Roman" w:hAnsi="Times New Roman"/>
          <w:b w:val="0"/>
          <w:i/>
          <w:sz w:val="24"/>
        </w:rPr>
        <w:t>sliding window</w:t>
      </w:r>
      <w:r>
        <w:rPr>
          <w:rFonts w:ascii="Times New Roman" w:hAnsi="Times New Roman"/>
          <w:b w:val="0"/>
          <w:i w:val="0"/>
          <w:sz w:val="24"/>
        </w:rPr>
        <w:t>), SSIM jauh lebih sensitif terhadap penurunan ketajaman tepi dan degradasi tekstur dibandingkan PSNR.</w:t>
      </w:r>
    </w:p>
    <w:p>
      <w:pPr>
        <w:spacing w:line="360" w:lineRule="auto" w:after="80" w:before="160"/>
        <w:ind w:firstLine="0"/>
        <w:jc w:val="left"/>
      </w:pPr>
      <w:r>
        <w:rPr>
          <w:rFonts w:ascii="Times New Roman" w:hAnsi="Times New Roman"/>
          <w:b/>
          <w:i w:val="0"/>
          <w:sz w:val="24"/>
        </w:rPr>
        <w:t>2.5.3</w:t>
        <w:tab/>
        <w:t>Evaluasi Berbasis Tugas Klinis (</w:t>
      </w:r>
      <w:r>
        <w:rPr>
          <w:rFonts w:ascii="Times New Roman" w:hAnsi="Times New Roman"/>
          <w:b/>
          <w:i/>
          <w:sz w:val="24"/>
        </w:rPr>
        <w:t>Task-Based Evaluation</w:t>
      </w:r>
      <w:r>
        <w:rPr>
          <w:rFonts w:ascii="Times New Roman" w:hAnsi="Times New Roman"/>
          <w:b/>
          <w:i w:val="0"/>
          <w:sz w:val="24"/>
        </w:rPr>
        <w:t>)</w:t>
      </w:r>
    </w:p>
    <w:p>
      <w:pPr>
        <w:spacing w:line="360" w:lineRule="auto" w:after="0" w:before="0"/>
        <w:ind w:firstLine="567"/>
        <w:jc w:val="both"/>
      </w:pPr>
      <w:r>
        <w:rPr>
          <w:rFonts w:ascii="Times New Roman" w:hAnsi="Times New Roman"/>
          <w:b w:val="0"/>
          <w:i w:val="0"/>
          <w:sz w:val="24"/>
        </w:rPr>
        <w:t xml:space="preserve">Meskipun PSNR dan SSIM merupakan metrik standar dalam pemrosesan citra, capaian nilai PSNR dan SSIM yang tinggi belum menjamin pelestarian struktur anatomi yang relevan untuk tugas klinis tertentu (Yu </w:t>
      </w:r>
      <w:r>
        <w:rPr>
          <w:rFonts w:ascii="Times New Roman" w:hAnsi="Times New Roman"/>
          <w:b w:val="0"/>
          <w:i/>
          <w:sz w:val="24"/>
        </w:rPr>
        <w:t>et al.</w:t>
      </w:r>
      <w:r>
        <w:rPr>
          <w:rFonts w:ascii="Times New Roman" w:hAnsi="Times New Roman"/>
          <w:b w:val="0"/>
          <w:i w:val="0"/>
          <w:sz w:val="24"/>
        </w:rPr>
        <w:t>, 2023). Hal ini disebabkan oleh sifat kedua metrik tersebut yang memperlakukan seluruh area citra secara seragam tanpa memberikan bobot khusus pada batas fitur anatomis yang menjadi target diagnostik. Algoritma restorasi yang melakukan penghalusan berlebih (</w:t>
      </w:r>
      <w:r>
        <w:rPr>
          <w:rFonts w:ascii="Times New Roman" w:hAnsi="Times New Roman"/>
          <w:b w:val="0"/>
          <w:i/>
          <w:sz w:val="24"/>
        </w:rPr>
        <w:t>over-smoothing</w:t>
      </w:r>
      <w:r>
        <w:rPr>
          <w:rFonts w:ascii="Times New Roman" w:hAnsi="Times New Roman"/>
          <w:b w:val="0"/>
          <w:i w:val="0"/>
          <w:sz w:val="24"/>
        </w:rPr>
        <w:t>) pada area bidang paru yang luas dapat memperoleh skor PSNR dan SSIM yang sangat tinggi, namun secara bersamaan berisiko mengikis ketajaman garis tepi kardioperikardial.</w:t>
      </w:r>
    </w:p>
    <w:p>
      <w:pPr>
        <w:spacing w:line="360" w:lineRule="auto" w:after="0" w:before="0"/>
        <w:ind w:firstLine="567"/>
        <w:jc w:val="both"/>
      </w:pPr>
      <w:r>
        <w:rPr>
          <w:rFonts w:ascii="Times New Roman" w:hAnsi="Times New Roman"/>
          <w:b w:val="0"/>
          <w:i w:val="0"/>
          <w:sz w:val="24"/>
        </w:rPr>
        <w:t>Mengingat tujuan utama dari restorasi citra radiografi toraks pada penelitian ini adalah mendukung ketepatan pengukuran biometri kardiomegali, evaluasi kualitas tidak dapat disandarkan semata pada metrik fidelitas fisik global. Evaluasi kualitas citra perlu diperluas mencakup pendekatan berbasis tugas klinis (</w:t>
      </w:r>
      <w:r>
        <w:rPr>
          <w:rFonts w:ascii="Times New Roman" w:hAnsi="Times New Roman"/>
          <w:b w:val="0"/>
          <w:i/>
          <w:sz w:val="24"/>
        </w:rPr>
        <w:t>task-based evaluation</w:t>
      </w:r>
      <w:r>
        <w:rPr>
          <w:rFonts w:ascii="Times New Roman" w:hAnsi="Times New Roman"/>
          <w:b w:val="0"/>
          <w:i w:val="0"/>
          <w:sz w:val="24"/>
        </w:rPr>
        <w:t>), yaitu dengan menguji pengaruh restorasi secara langsung terhadap pelestarian garis batas anatomi (</w:t>
      </w:r>
      <w:r>
        <w:rPr>
          <w:rFonts w:ascii="Times New Roman" w:hAnsi="Times New Roman"/>
          <w:b w:val="0"/>
          <w:i/>
          <w:sz w:val="24"/>
        </w:rPr>
        <w:t>boundary preservation</w:t>
      </w:r>
      <w:r>
        <w:rPr>
          <w:rFonts w:ascii="Times New Roman" w:hAnsi="Times New Roman"/>
          <w:b w:val="0"/>
          <w:i w:val="0"/>
          <w:sz w:val="24"/>
        </w:rPr>
        <w:t xml:space="preserve">) dan tingkat galat pengukuran </w:t>
      </w:r>
      <w:r>
        <w:rPr>
          <w:rFonts w:ascii="Times New Roman" w:hAnsi="Times New Roman"/>
          <w:b w:val="0"/>
          <w:i/>
          <w:sz w:val="24"/>
        </w:rPr>
        <w:t>Cardiothoracic Ratio</w:t>
      </w:r>
      <w:r>
        <w:rPr>
          <w:rFonts w:ascii="Times New Roman" w:hAnsi="Times New Roman"/>
          <w:b w:val="0"/>
          <w:i w:val="0"/>
          <w:sz w:val="24"/>
        </w:rPr>
        <w:t xml:space="preserve"> (CTR).</w:t>
      </w:r>
    </w:p>
    <w:p>
      <w:pPr>
        <w:spacing w:line="360" w:lineRule="auto" w:after="120" w:before="280"/>
        <w:ind w:firstLine="0"/>
        <w:jc w:val="left"/>
      </w:pPr>
      <w:r>
        <w:rPr>
          <w:rFonts w:ascii="Times New Roman" w:hAnsi="Times New Roman"/>
          <w:b/>
          <w:i w:val="0"/>
          <w:sz w:val="24"/>
        </w:rPr>
        <w:t>2.6</w:t>
        <w:tab/>
        <w:t>Evaluasi Berbasis Tugas Klinis</w:t>
      </w:r>
    </w:p>
    <w:p>
      <w:pPr>
        <w:spacing w:line="360" w:lineRule="auto" w:after="0" w:before="0"/>
        <w:ind w:firstLine="567"/>
        <w:jc w:val="both"/>
      </w:pPr>
      <w:r>
        <w:rPr>
          <w:rFonts w:ascii="Times New Roman" w:hAnsi="Times New Roman"/>
          <w:b w:val="0"/>
          <w:i w:val="0"/>
          <w:sz w:val="24"/>
        </w:rPr>
        <w:t>Evaluasi kualitas citra konvensional berbasis fidelitas piksel global (PSNR dan SSIM) belum mencerminkan keberhasilan klinis sesungguhnya. Oleh karena itu, penelitian ini menerapkan paradigma evaluasi berbasis tugas (</w:t>
      </w:r>
      <w:r>
        <w:rPr>
          <w:rFonts w:ascii="Times New Roman" w:hAnsi="Times New Roman"/>
          <w:b w:val="0"/>
          <w:i/>
          <w:sz w:val="24"/>
        </w:rPr>
        <w:t>task-based evaluation</w:t>
      </w:r>
      <w:r>
        <w:rPr>
          <w:rFonts w:ascii="Times New Roman" w:hAnsi="Times New Roman"/>
          <w:b w:val="0"/>
          <w:i w:val="0"/>
          <w:sz w:val="24"/>
        </w:rPr>
        <w:t>) yang berfokus langsung pada dua aspek utama, yaitu kemampuan algoritma restorasi dalam melestarikan batas kontur anatomi organ (</w:t>
      </w:r>
      <w:r>
        <w:rPr>
          <w:rFonts w:ascii="Times New Roman" w:hAnsi="Times New Roman"/>
          <w:b w:val="0"/>
          <w:i/>
          <w:sz w:val="24"/>
        </w:rPr>
        <w:t>boundary preservation</w:t>
      </w:r>
      <w:r>
        <w:rPr>
          <w:rFonts w:ascii="Times New Roman" w:hAnsi="Times New Roman"/>
          <w:b w:val="0"/>
          <w:i w:val="0"/>
          <w:sz w:val="24"/>
        </w:rPr>
        <w:t xml:space="preserve">) serta ketepatan hasil pengukuran biometrik </w:t>
      </w:r>
      <w:r>
        <w:rPr>
          <w:rFonts w:ascii="Times New Roman" w:hAnsi="Times New Roman"/>
          <w:b w:val="0"/>
          <w:i/>
          <w:sz w:val="24"/>
        </w:rPr>
        <w:t>Cardiothoracic Ratio</w:t>
      </w:r>
      <w:r>
        <w:rPr>
          <w:rFonts w:ascii="Times New Roman" w:hAnsi="Times New Roman"/>
          <w:b w:val="0"/>
          <w:i w:val="0"/>
          <w:sz w:val="24"/>
        </w:rPr>
        <w:t xml:space="preserve"> (CTR).</w:t>
      </w:r>
    </w:p>
    <w:p>
      <w:pPr>
        <w:spacing w:line="360" w:lineRule="auto" w:after="80" w:before="160"/>
        <w:ind w:firstLine="0"/>
        <w:jc w:val="left"/>
      </w:pPr>
      <w:r>
        <w:rPr>
          <w:rFonts w:ascii="Times New Roman" w:hAnsi="Times New Roman"/>
          <w:b/>
          <w:i w:val="0"/>
          <w:sz w:val="24"/>
        </w:rPr>
        <w:t>2.6.1</w:t>
        <w:tab/>
        <w:t>Pelestarian Batas Anatomi (</w:t>
      </w:r>
      <w:r>
        <w:rPr>
          <w:rFonts w:ascii="Times New Roman" w:hAnsi="Times New Roman"/>
          <w:b/>
          <w:i/>
          <w:sz w:val="24"/>
        </w:rPr>
        <w:t>Boundary Preservation</w:t>
      </w:r>
      <w:r>
        <w:rPr>
          <w:rFonts w:ascii="Times New Roman" w:hAnsi="Times New Roman"/>
          <w:b/>
          <w:i w:val="0"/>
          <w:sz w:val="24"/>
        </w:rPr>
        <w:t>)</w:t>
      </w:r>
    </w:p>
    <w:p>
      <w:pPr>
        <w:spacing w:line="360" w:lineRule="auto" w:after="0" w:before="0"/>
        <w:ind w:firstLine="567"/>
        <w:jc w:val="both"/>
      </w:pPr>
      <w:r>
        <w:rPr>
          <w:rFonts w:ascii="Times New Roman" w:hAnsi="Times New Roman"/>
          <w:b w:val="0"/>
          <w:i w:val="0"/>
          <w:sz w:val="24"/>
        </w:rPr>
        <w:t>Pelestarian batas anatomi mengukur sejauh mana proses penapisan derau mampu mempertahankan ketajaman dan integritas geometris garis tepi organ kardioperikardial serta dinding toraks tanpa menimbulkan distorsi struktural, efek pengaburan (</w:t>
      </w:r>
      <w:r>
        <w:rPr>
          <w:rFonts w:ascii="Times New Roman" w:hAnsi="Times New Roman"/>
          <w:b w:val="0"/>
          <w:i/>
          <w:sz w:val="24"/>
        </w:rPr>
        <w:t>over-smoothing</w:t>
      </w:r>
      <w:r>
        <w:rPr>
          <w:rFonts w:ascii="Times New Roman" w:hAnsi="Times New Roman"/>
          <w:b w:val="0"/>
          <w:i w:val="0"/>
          <w:sz w:val="24"/>
        </w:rPr>
        <w:t>), maupun artefak halusinasi. Evaluasi pelestarian batas dilakukan melalui perbandingan antara kontur segmentasi hasil restorasi dan kontur acuan bersih menggunakan tiga metrik kuantitatif:</w:t>
      </w:r>
    </w:p>
    <w:p>
      <w:pPr>
        <w:spacing w:line="360" w:lineRule="auto" w:after="40" w:before="0"/>
        <w:ind w:firstLine="0"/>
        <w:jc w:val="both"/>
      </w:pPr>
      <w:r>
        <w:rPr>
          <w:rFonts w:ascii="Times New Roman" w:hAnsi="Times New Roman"/>
          <w:b/>
          <w:i w:val="0"/>
          <w:sz w:val="24"/>
        </w:rPr>
        <w:t>1.</w:t>
        <w:tab/>
        <w:t>Koefisien Kemiripan Dice (</w:t>
      </w:r>
      <w:r>
        <w:rPr>
          <w:rFonts w:ascii="Times New Roman" w:hAnsi="Times New Roman"/>
          <w:b/>
          <w:i/>
          <w:sz w:val="24"/>
        </w:rPr>
        <w:t>Dice Similarity Coefficient</w:t>
      </w:r>
      <w:r>
        <w:rPr>
          <w:rFonts w:ascii="Times New Roman" w:hAnsi="Times New Roman"/>
          <w:b/>
          <w:i w:val="0"/>
          <w:sz w:val="24"/>
        </w:rPr>
        <w:t xml:space="preserve"> atau DSC)</w:t>
      </w:r>
    </w:p>
    <w:p>
      <w:pPr>
        <w:spacing w:line="360" w:lineRule="auto" w:after="0" w:before="0"/>
        <w:ind w:firstLine="567"/>
        <w:jc w:val="both"/>
      </w:pPr>
      <w:r>
        <w:rPr>
          <w:rFonts w:ascii="Times New Roman" w:hAnsi="Times New Roman"/>
          <w:b w:val="0"/>
          <w:i w:val="0"/>
          <w:sz w:val="24"/>
        </w:rPr>
        <w:t>DSC mengukur derajat tumpang-tindih spasial (</w:t>
      </w:r>
      <w:r>
        <w:rPr>
          <w:rFonts w:ascii="Times New Roman" w:hAnsi="Times New Roman"/>
          <w:b w:val="0"/>
          <w:i/>
          <w:sz w:val="24"/>
        </w:rPr>
        <w:t>spatial overlap</w:t>
      </w:r>
      <w:r>
        <w:rPr>
          <w:rFonts w:ascii="Times New Roman" w:hAnsi="Times New Roman"/>
          <w:b w:val="0"/>
          <w:i w:val="0"/>
          <w:sz w:val="24"/>
        </w:rPr>
        <w:t xml:space="preserve">) antara area biner kontur acuan </w:t>
      </w:r>
      <w:r>
        <w:rPr>
          <w:rFonts w:ascii="Times New Roman" w:hAnsi="Times New Roman"/>
          <w:b w:val="0"/>
          <w:i/>
          <w:sz w:val="24"/>
        </w:rPr>
        <w:t>A</w:t>
      </w:r>
      <w:r>
        <w:rPr>
          <w:rFonts w:ascii="Times New Roman" w:hAnsi="Times New Roman"/>
          <w:b w:val="0"/>
          <w:i w:val="0"/>
          <w:sz w:val="24"/>
        </w:rPr>
        <w:t xml:space="preserve"> dan kontur hasil restorasi </w:t>
      </w:r>
      <w:r>
        <w:rPr>
          <w:rFonts w:ascii="Times New Roman" w:hAnsi="Times New Roman"/>
          <w:b w:val="0"/>
          <w:i/>
          <w:sz w:val="24"/>
        </w:rPr>
        <w:t>B</w:t>
      </w:r>
      <w:r>
        <w:rPr>
          <w:rFonts w:ascii="Times New Roman" w:hAnsi="Times New Roman"/>
          <w:b w:val="0"/>
          <w:i w:val="0"/>
          <w:sz w:val="24"/>
        </w:rPr>
        <w:t>:</w:t>
      </w:r>
    </w:p>
    <w:p>
      <w:pPr>
        <w:spacing w:line="240" w:lineRule="auto" w:after="80" w:before="80"/>
        <w:ind w:firstLine="0"/>
        <w:jc w:val="center"/>
      </w:pPr>
      <m:oMathPara>
        <m:oMathParaPr>
          <m:jc m:val="center"/>
        </m:oMathParaPr>
        <m:oMath>
          <m:r>
            <m:rPr>
              <m:nor/>
            </m:rPr>
            <m:t>DSC</m:t>
          </m:r>
          <m:r>
            <m:t>(A,B)=</m:t>
          </m:r>
          <m:f>
            <m:fPr>
              <m:type m:val="bar"/>
            </m:fPr>
            <m:num>
              <m:r>
                <m:t>2|A∩B|</m:t>
              </m:r>
            </m:num>
            <m:den>
              <m:d>
                <m:dPr>
                  <m:begChr m:val="|"/>
                  <m:sepChr m:val=""/>
                  <m:endChr m:val="|"/>
                </m:dPr>
                <m:e>
                  <m:r>
                    <m:t>A</m:t>
                  </m:r>
                  <m:r>
                    <m:t>|</m:t>
                  </m:r>
                  <m:r>
                    <m:t>+</m:t>
                  </m:r>
                  <m:r>
                    <m:t>|</m:t>
                  </m:r>
                  <m:r>
                    <m:t>B</m:t>
                  </m:r>
                </m:e>
              </m:d>
            </m:den>
          </m:f>
        </m:oMath>
      </m:oMathPara>
    </w:p>
    <w:p>
      <w:pPr>
        <w:spacing w:line="360" w:lineRule="auto" w:after="0" w:before="0"/>
        <w:ind w:firstLine="567"/>
        <w:jc w:val="both"/>
      </w:pPr>
      <w:r>
        <w:rPr>
          <w:rFonts w:ascii="Times New Roman" w:hAnsi="Times New Roman"/>
          <w:b w:val="0"/>
          <w:i w:val="0"/>
          <w:sz w:val="24"/>
        </w:rPr>
        <w:t>Nilai DSC berada pada rentang 0 hingga 1, dengan nilai mendekati 1 merepresentasikan tingkat kesesuaian area anatomi yang semakin sempurna.</w:t>
      </w:r>
    </w:p>
    <w:p>
      <w:pPr>
        <w:spacing w:line="360" w:lineRule="auto" w:after="40" w:before="0"/>
        <w:ind w:firstLine="0"/>
        <w:jc w:val="both"/>
      </w:pPr>
      <w:r>
        <w:rPr>
          <w:rFonts w:ascii="Times New Roman" w:hAnsi="Times New Roman"/>
          <w:b/>
          <w:i w:val="0"/>
          <w:sz w:val="24"/>
        </w:rPr>
        <w:t>2.</w:t>
        <w:tab/>
        <w:t>Jarak Hausdorff (</w:t>
      </w:r>
      <w:r>
        <w:rPr>
          <w:rFonts w:ascii="Times New Roman" w:hAnsi="Times New Roman"/>
          <w:b/>
          <w:i/>
          <w:sz w:val="24"/>
        </w:rPr>
        <w:t>Hausdorff Distance</w:t>
      </w:r>
      <w:r>
        <w:rPr>
          <w:rFonts w:ascii="Times New Roman" w:hAnsi="Times New Roman"/>
          <w:b/>
          <w:i w:val="0"/>
          <w:sz w:val="24"/>
        </w:rPr>
        <w:t xml:space="preserve"> atau HD)</w:t>
      </w:r>
    </w:p>
    <w:p>
      <w:pPr>
        <w:spacing w:line="360" w:lineRule="auto" w:after="0" w:before="0"/>
        <w:ind w:firstLine="567"/>
        <w:jc w:val="both"/>
      </w:pPr>
      <w:r>
        <w:rPr>
          <w:rFonts w:ascii="Times New Roman" w:hAnsi="Times New Roman"/>
          <w:b w:val="0"/>
          <w:i w:val="0"/>
          <w:sz w:val="24"/>
        </w:rPr>
        <w:t>HD mengukur jarak pemisahan spasial maksimum terburuk (</w:t>
      </w:r>
      <w:r>
        <w:rPr>
          <w:rFonts w:ascii="Times New Roman" w:hAnsi="Times New Roman"/>
          <w:b w:val="0"/>
          <w:i/>
          <w:sz w:val="24"/>
        </w:rPr>
        <w:t>worst-case boundary distance</w:t>
      </w:r>
      <w:r>
        <w:rPr>
          <w:rFonts w:ascii="Times New Roman" w:hAnsi="Times New Roman"/>
          <w:b w:val="0"/>
          <w:i w:val="0"/>
          <w:sz w:val="24"/>
        </w:rPr>
        <w:t xml:space="preserve">) antara titik-titik pada kontur acuan </w:t>
      </w:r>
      <w:r>
        <w:rPr>
          <w:rFonts w:ascii="Times New Roman" w:hAnsi="Times New Roman"/>
          <w:b w:val="0"/>
          <w:i/>
          <w:sz w:val="24"/>
        </w:rPr>
        <w:t>A</w:t>
      </w:r>
      <w:r>
        <w:rPr>
          <w:rFonts w:ascii="Times New Roman" w:hAnsi="Times New Roman"/>
          <w:b w:val="0"/>
          <w:i w:val="0"/>
          <w:sz w:val="24"/>
        </w:rPr>
        <w:t xml:space="preserve"> dan kontur restorasi </w:t>
      </w:r>
      <w:r>
        <w:rPr>
          <w:rFonts w:ascii="Times New Roman" w:hAnsi="Times New Roman"/>
          <w:b w:val="0"/>
          <w:i/>
          <w:sz w:val="24"/>
        </w:rPr>
        <w:t>B</w:t>
      </w:r>
      <w:r>
        <w:rPr>
          <w:rFonts w:ascii="Times New Roman" w:hAnsi="Times New Roman"/>
          <w:b w:val="0"/>
          <w:i w:val="0"/>
          <w:sz w:val="24"/>
        </w:rPr>
        <w:t>:</w:t>
      </w:r>
    </w:p>
    <w:p>
      <w:pPr>
        <w:spacing w:line="240" w:lineRule="auto" w:after="80" w:before="80"/>
        <w:ind w:firstLine="0"/>
        <w:jc w:val="center"/>
      </w:pPr>
      <m:oMathPara>
        <m:oMathParaPr>
          <m:jc m:val="center"/>
        </m:oMathParaPr>
        <m:oMath>
          <m:sSub>
            <m:e>
              <m:r>
                <m:t>d</m:t>
              </m:r>
            </m:e>
            <m:sub>
              <m:r>
                <m:t>H</m:t>
              </m:r>
            </m:sub>
          </m:sSub>
          <m:r>
            <m:t>(A,B)=max(</m:t>
          </m:r>
          <m:limLow>
            <m:e>
              <m:r>
                <m:t>sup</m:t>
              </m:r>
            </m:e>
            <m:lim>
              <m:r>
                <m:t>a∈A</m:t>
              </m:r>
            </m:lim>
          </m:limLow>
          <m:limLow>
            <m:e>
              <m:r>
                <m:t>inf</m:t>
              </m:r>
            </m:e>
            <m:lim>
              <m:r>
                <m:t>b∈B</m:t>
              </m:r>
            </m:lim>
          </m:limLow>
          <m:r>
            <m:t>‖a-b‖,</m:t>
          </m:r>
          <m:limLow>
            <m:e>
              <m:r>
                <m:t>sup</m:t>
              </m:r>
            </m:e>
            <m:lim>
              <m:r>
                <m:t>b∈B</m:t>
              </m:r>
            </m:lim>
          </m:limLow>
          <m:limLow>
            <m:e>
              <m:r>
                <m:t>inf</m:t>
              </m:r>
            </m:e>
            <m:lim>
              <m:r>
                <m:t>a∈A</m:t>
              </m:r>
            </m:lim>
          </m:limLow>
          <m:r>
            <m:t>‖b-a‖)</m:t>
          </m:r>
        </m:oMath>
      </m:oMathPara>
    </w:p>
    <w:p>
      <w:pPr>
        <w:spacing w:line="360" w:lineRule="auto" w:after="0" w:before="0"/>
        <w:ind w:firstLine="567"/>
        <w:jc w:val="both"/>
      </w:pPr>
      <w:r>
        <w:rPr>
          <w:rFonts w:ascii="Times New Roman" w:hAnsi="Times New Roman"/>
          <w:b w:val="0"/>
          <w:i w:val="0"/>
          <w:sz w:val="24"/>
        </w:rPr>
        <w:t>Dalam analisis radiologi digital, persentil ke-95 dari jarak Hausdorff (HD95) digunakan untuk menghindari sensitivitas ekstrem terhadap titik pencilan (</w:t>
      </w:r>
      <w:r>
        <w:rPr>
          <w:rFonts w:ascii="Times New Roman" w:hAnsi="Times New Roman"/>
          <w:b w:val="0"/>
          <w:i/>
          <w:sz w:val="24"/>
        </w:rPr>
        <w:t>outliers</w:t>
      </w:r>
      <w:r>
        <w:rPr>
          <w:rFonts w:ascii="Times New Roman" w:hAnsi="Times New Roman"/>
          <w:b w:val="0"/>
          <w:i w:val="0"/>
          <w:sz w:val="24"/>
        </w:rPr>
        <w:t>). Nilai HD95 yang semakin kecil menunjukkan bahwa batas tepi kardiak terestorasi tidak menyimpang jauh dari batas anatomis aslinya.</w:t>
      </w:r>
    </w:p>
    <w:p>
      <w:pPr>
        <w:spacing w:line="360" w:lineRule="auto" w:after="40" w:before="0"/>
        <w:ind w:firstLine="0"/>
        <w:jc w:val="both"/>
      </w:pPr>
      <w:r>
        <w:rPr>
          <w:rFonts w:ascii="Times New Roman" w:hAnsi="Times New Roman"/>
          <w:b/>
          <w:i w:val="0"/>
          <w:sz w:val="24"/>
        </w:rPr>
        <w:t>3.</w:t>
        <w:tab/>
        <w:t>Jarak Permukaan Rata-Rata (</w:t>
      </w:r>
      <w:r>
        <w:rPr>
          <w:rFonts w:ascii="Times New Roman" w:hAnsi="Times New Roman"/>
          <w:b/>
          <w:i/>
          <w:sz w:val="24"/>
        </w:rPr>
        <w:t>Mean Surface Distance</w:t>
      </w:r>
      <w:r>
        <w:rPr>
          <w:rFonts w:ascii="Times New Roman" w:hAnsi="Times New Roman"/>
          <w:b/>
          <w:i w:val="0"/>
          <w:sz w:val="24"/>
        </w:rPr>
        <w:t xml:space="preserve"> atau MSD)</w:t>
      </w:r>
    </w:p>
    <w:p>
      <w:pPr>
        <w:spacing w:line="360" w:lineRule="auto" w:after="0" w:before="0"/>
        <w:ind w:firstLine="567"/>
        <w:jc w:val="both"/>
      </w:pPr>
      <w:r>
        <w:rPr>
          <w:rFonts w:ascii="Times New Roman" w:hAnsi="Times New Roman"/>
          <w:b w:val="0"/>
          <w:i w:val="0"/>
          <w:sz w:val="24"/>
        </w:rPr>
        <w:t xml:space="preserve">MSD mengukur rata-rata jarak euclid terdekat antara seluruh titik pada permukaan kontur </w:t>
      </w:r>
      <w:r>
        <w:rPr>
          <w:rFonts w:ascii="Times New Roman" w:hAnsi="Times New Roman"/>
          <w:b w:val="0"/>
          <w:i/>
          <w:sz w:val="24"/>
        </w:rPr>
        <w:t>A</w:t>
      </w:r>
      <w:r>
        <w:rPr>
          <w:rFonts w:ascii="Times New Roman" w:hAnsi="Times New Roman"/>
          <w:b w:val="0"/>
          <w:i w:val="0"/>
          <w:sz w:val="24"/>
        </w:rPr>
        <w:t xml:space="preserve"> dan kontur </w:t>
      </w:r>
      <w:r>
        <w:rPr>
          <w:rFonts w:ascii="Times New Roman" w:hAnsi="Times New Roman"/>
          <w:b w:val="0"/>
          <w:i/>
          <w:sz w:val="24"/>
        </w:rPr>
        <w:t>B</w:t>
      </w:r>
      <w:r>
        <w:rPr>
          <w:rFonts w:ascii="Times New Roman" w:hAnsi="Times New Roman"/>
          <w:b w:val="0"/>
          <w:i w:val="0"/>
          <w:sz w:val="24"/>
        </w:rPr>
        <w:t>:</w:t>
      </w:r>
    </w:p>
    <w:p>
      <w:pPr>
        <w:spacing w:line="240" w:lineRule="auto" w:after="80" w:before="80"/>
        <w:ind w:firstLine="0"/>
        <w:jc w:val="center"/>
      </w:pPr>
      <m:oMathPara>
        <m:oMathParaPr>
          <m:jc m:val="center"/>
        </m:oMathParaPr>
        <m:oMath>
          <m:r>
            <m:rPr>
              <m:nor/>
            </m:rPr>
            <m:t>MSD</m:t>
          </m:r>
          <m:r>
            <m:t>(A,B)=</m:t>
          </m:r>
          <m:f>
            <m:fPr>
              <m:type m:val="bar"/>
            </m:fPr>
            <m:num>
              <m:r>
                <m:t>1</m:t>
              </m:r>
            </m:num>
            <m:den>
              <m:d>
                <m:dPr>
                  <m:begChr m:val="|"/>
                  <m:sepChr m:val=""/>
                  <m:endChr m:val="|"/>
                </m:dPr>
                <m:e>
                  <m:r>
                    <m:t>A</m:t>
                  </m:r>
                  <m:r>
                    <m:t>|</m:t>
                  </m:r>
                  <m:r>
                    <m:t>+</m:t>
                  </m:r>
                  <m:r>
                    <m:t>|</m:t>
                  </m:r>
                  <m:r>
                    <m:t>B</m:t>
                  </m:r>
                </m:e>
              </m:d>
            </m:den>
          </m:f>
          <m:r>
            <m:t>(</m:t>
          </m:r>
          <m:nary>
            <m:naryPr>
              <m:chr m:val="∑"/>
              <m:limLoc m:val="undOvr"/>
              <m:grow m:val="1"/>
              <m:subHide m:val="off"/>
              <m:supHide m:val="on"/>
            </m:naryPr>
            <m:sub>
              <m:r>
                <m:t>a∈A</m:t>
              </m:r>
            </m:sub>
            <m:sup/>
            <m:e>
              <m:limLow>
                <m:e>
                  <m:r>
                    <m:t>min</m:t>
                  </m:r>
                </m:e>
                <m:lim>
                  <m:r>
                    <m:t>b∈B</m:t>
                  </m:r>
                </m:lim>
              </m:limLow>
            </m:e>
          </m:nary>
          <m:r>
            <m:t>‖a-b‖+</m:t>
          </m:r>
          <m:nary>
            <m:naryPr>
              <m:chr m:val="∑"/>
              <m:limLoc m:val="undOvr"/>
              <m:grow m:val="1"/>
              <m:subHide m:val="off"/>
              <m:supHide m:val="on"/>
            </m:naryPr>
            <m:sub>
              <m:r>
                <m:t>b∈B</m:t>
              </m:r>
            </m:sub>
            <m:sup/>
            <m:e>
              <m:limLow>
                <m:e>
                  <m:r>
                    <m:t>min</m:t>
                  </m:r>
                </m:e>
                <m:lim>
                  <m:r>
                    <m:t>a∈A</m:t>
                  </m:r>
                </m:lim>
              </m:limLow>
            </m:e>
          </m:nary>
          <m:r>
            <m:t>‖b-a‖)</m:t>
          </m:r>
        </m:oMath>
      </m:oMathPara>
    </w:p>
    <w:p>
      <w:pPr>
        <w:spacing w:line="360" w:lineRule="auto" w:after="0" w:before="0"/>
        <w:ind w:firstLine="567"/>
        <w:jc w:val="both"/>
      </w:pPr>
      <w:r>
        <w:rPr>
          <w:rFonts w:ascii="Times New Roman" w:hAnsi="Times New Roman"/>
          <w:b w:val="0"/>
          <w:i w:val="0"/>
          <w:sz w:val="24"/>
        </w:rPr>
        <w:t>Metrik MSD melengkapi HD dengan memberikan gambaran deviasi batas anatomi secara menyeluruh, di mana nilai MSD yang rendah mengindikasikan konsistensi kontur organ secara global.</w:t>
      </w:r>
    </w:p>
    <w:p>
      <w:pPr>
        <w:spacing w:line="360" w:lineRule="auto" w:after="80" w:before="160"/>
        <w:ind w:firstLine="0"/>
        <w:jc w:val="left"/>
      </w:pPr>
      <w:r>
        <w:rPr>
          <w:rFonts w:ascii="Times New Roman" w:hAnsi="Times New Roman"/>
          <w:b/>
          <w:i w:val="0"/>
          <w:sz w:val="24"/>
        </w:rPr>
        <w:t>2.6.2</w:t>
        <w:tab/>
        <w:t>Galat Pengukuran CTR (</w:t>
      </w:r>
      <w:r>
        <w:rPr>
          <w:rFonts w:ascii="Times New Roman" w:hAnsi="Times New Roman"/>
          <w:b/>
          <w:i/>
          <w:sz w:val="24"/>
        </w:rPr>
        <w:t>CTR Measurement Error</w:t>
      </w:r>
      <w:r>
        <w:rPr>
          <w:rFonts w:ascii="Times New Roman" w:hAnsi="Times New Roman"/>
          <w:b/>
          <w:i w:val="0"/>
          <w:sz w:val="24"/>
        </w:rPr>
        <w:t>)</w:t>
      </w:r>
    </w:p>
    <w:p>
      <w:pPr>
        <w:spacing w:line="360" w:lineRule="auto" w:after="0" w:before="0"/>
        <w:ind w:firstLine="567"/>
        <w:jc w:val="both"/>
      </w:pPr>
      <w:r>
        <w:rPr>
          <w:rFonts w:ascii="Times New Roman" w:hAnsi="Times New Roman"/>
          <w:b w:val="0"/>
          <w:i/>
          <w:sz w:val="24"/>
        </w:rPr>
        <w:t>Cardiothoracic Ratio</w:t>
      </w:r>
      <w:r>
        <w:rPr>
          <w:rFonts w:ascii="Times New Roman" w:hAnsi="Times New Roman"/>
          <w:b w:val="0"/>
          <w:i w:val="0"/>
          <w:sz w:val="24"/>
        </w:rPr>
        <w:t xml:space="preserve"> (CTR) merupakan rasio biometrik transversal jantung terhadap rongga dada yang menjadi keluaran klinis utama dalam penelitian ini. Pengaruh degradasi derau dan pemulihan metode restorasi terhadap presisi diagnostik dievaluasi melalui besarnya penyimpangan nilai CTR terestorasi (CTR</w:t>
      </w:r>
      <w:r>
        <w:rPr>
          <w:rFonts w:ascii="Times New Roman" w:hAnsi="Times New Roman"/>
          <w:b w:val="0"/>
          <w:i/>
          <w:sz w:val="24"/>
          <w:vertAlign w:val="subscript"/>
        </w:rPr>
        <w:t>restored</w:t>
      </w:r>
      <w:r>
        <w:rPr>
          <w:rFonts w:ascii="Times New Roman" w:hAnsi="Times New Roman"/>
          <w:b w:val="0"/>
          <w:i w:val="0"/>
          <w:sz w:val="24"/>
        </w:rPr>
        <w:t>) terhadap nilai CTR acuan baku (CTR</w:t>
      </w:r>
      <w:r>
        <w:rPr>
          <w:rFonts w:ascii="Times New Roman" w:hAnsi="Times New Roman"/>
          <w:b w:val="0"/>
          <w:i/>
          <w:sz w:val="24"/>
          <w:vertAlign w:val="subscript"/>
        </w:rPr>
        <w:t>ref</w:t>
      </w:r>
      <w:r>
        <w:rPr>
          <w:rFonts w:ascii="Times New Roman" w:hAnsi="Times New Roman"/>
          <w:b w:val="0"/>
          <w:i w:val="0"/>
          <w:sz w:val="24"/>
        </w:rPr>
        <w:t>) menggunakan metrik galat statistik:</w:t>
      </w:r>
    </w:p>
    <w:p>
      <w:pPr>
        <w:spacing w:line="360" w:lineRule="auto" w:after="40" w:before="0"/>
        <w:ind w:firstLine="0"/>
        <w:jc w:val="both"/>
      </w:pPr>
      <w:r>
        <w:rPr>
          <w:rFonts w:ascii="Times New Roman" w:hAnsi="Times New Roman"/>
          <w:b/>
          <w:i w:val="0"/>
          <w:sz w:val="24"/>
        </w:rPr>
        <w:t>1.</w:t>
        <w:tab/>
        <w:t>Galat Rata-Rata (</w:t>
      </w:r>
      <w:r>
        <w:rPr>
          <w:rFonts w:ascii="Times New Roman" w:hAnsi="Times New Roman"/>
          <w:b/>
          <w:i/>
          <w:sz w:val="24"/>
        </w:rPr>
        <w:t>Mean Error</w:t>
      </w:r>
      <w:r>
        <w:rPr>
          <w:rFonts w:ascii="Times New Roman" w:hAnsi="Times New Roman"/>
          <w:b/>
          <w:i w:val="0"/>
          <w:sz w:val="24"/>
        </w:rPr>
        <w:t xml:space="preserve"> atau Bias)</w:t>
      </w:r>
    </w:p>
    <w:p>
      <w:pPr>
        <w:spacing w:line="360" w:lineRule="auto" w:after="0" w:before="0"/>
        <w:ind w:firstLine="567"/>
        <w:jc w:val="both"/>
      </w:pPr>
      <w:r>
        <w:rPr>
          <w:rFonts w:ascii="Times New Roman" w:hAnsi="Times New Roman"/>
          <w:b w:val="0"/>
          <w:i w:val="0"/>
          <w:sz w:val="24"/>
        </w:rPr>
        <w:t>Bias mengukur kecenderungan arah penyimpangan pengukuran secara sistematis:</w:t>
      </w:r>
    </w:p>
    <w:p>
      <w:pPr>
        <w:spacing w:line="240" w:lineRule="auto" w:after="80" w:before="80"/>
        <w:ind w:firstLine="0"/>
        <w:jc w:val="center"/>
      </w:pPr>
      <m:oMathPara>
        <m:oMathParaPr>
          <m:jc m:val="center"/>
        </m:oMathParaPr>
        <m:oMath>
          <m:r>
            <m:rPr>
              <m:nor/>
            </m:rPr>
            <m:t>Bias</m:t>
          </m:r>
          <m:r>
            <m:t>=</m:t>
          </m:r>
          <m:f>
            <m:fPr>
              <m:type m:val="bar"/>
            </m:fPr>
            <m:num>
              <m:r>
                <m:t>1</m:t>
              </m:r>
            </m:num>
            <m:den>
              <m:r>
                <m:t>N</m:t>
              </m:r>
            </m:den>
          </m:f>
          <m:nary>
            <m:naryPr>
              <m:chr m:val="∑"/>
              <m:limLoc m:val="undOvr"/>
              <m:grow m:val="1"/>
              <m:subHide m:val="off"/>
              <m:supHide m:val="off"/>
            </m:naryPr>
            <m:sub>
              <m:r>
                <m:t>i=1</m:t>
              </m:r>
            </m:sub>
            <m:sup>
              <m:r>
                <m:t>N</m:t>
              </m:r>
            </m:sup>
            <m:e>
              <m:r>
                <m:t>(</m:t>
              </m:r>
            </m:e>
          </m:nary>
          <m:sSub>
            <m:e>
              <m:r>
                <m:rPr>
                  <m:nor/>
                </m:rPr>
                <m:t>CTR</m:t>
              </m:r>
            </m:e>
            <m:sub>
              <m:r>
                <m:rPr>
                  <m:nor/>
                </m:rPr>
                <m:t>restored</m:t>
              </m:r>
              <m:r>
                <m:t>,i</m:t>
              </m:r>
            </m:sub>
          </m:sSub>
          <m:r>
            <m:t>-</m:t>
          </m:r>
          <m:sSub>
            <m:e>
              <m:r>
                <m:rPr>
                  <m:nor/>
                </m:rPr>
                <m:t>CTR</m:t>
              </m:r>
            </m:e>
            <m:sub>
              <m:r>
                <m:rPr>
                  <m:nor/>
                </m:rPr>
                <m:t>ref</m:t>
              </m:r>
              <m:r>
                <m:t>,i</m:t>
              </m:r>
            </m:sub>
          </m:sSub>
          <m:r>
            <m:t>)</m:t>
          </m:r>
        </m:oMath>
      </m:oMathPara>
    </w:p>
    <w:p>
      <w:pPr>
        <w:spacing w:line="360" w:lineRule="auto" w:after="0" w:before="0"/>
        <w:ind w:firstLine="567"/>
        <w:jc w:val="both"/>
      </w:pPr>
      <w:r>
        <w:rPr>
          <w:rFonts w:ascii="Times New Roman" w:hAnsi="Times New Roman"/>
          <w:b w:val="0"/>
          <w:i w:val="0"/>
          <w:sz w:val="24"/>
        </w:rPr>
        <w:t>Nilai bias positif menunjukkan kecenderungan estimasi berlebih (</w:t>
      </w:r>
      <w:r>
        <w:rPr>
          <w:rFonts w:ascii="Times New Roman" w:hAnsi="Times New Roman"/>
          <w:b w:val="0"/>
          <w:i/>
          <w:sz w:val="24"/>
        </w:rPr>
        <w:t>overestimation</w:t>
      </w:r>
      <w:r>
        <w:rPr>
          <w:rFonts w:ascii="Times New Roman" w:hAnsi="Times New Roman"/>
          <w:b w:val="0"/>
          <w:i w:val="0"/>
          <w:sz w:val="24"/>
        </w:rPr>
        <w:t>), sedangkan nilai bias negatif mengindikasikan kecenderungan penyusutan dimensi jantung (</w:t>
      </w:r>
      <w:r>
        <w:rPr>
          <w:rFonts w:ascii="Times New Roman" w:hAnsi="Times New Roman"/>
          <w:b w:val="0"/>
          <w:i/>
          <w:sz w:val="24"/>
        </w:rPr>
        <w:t>underestimation</w:t>
      </w:r>
      <w:r>
        <w:rPr>
          <w:rFonts w:ascii="Times New Roman" w:hAnsi="Times New Roman"/>
          <w:b w:val="0"/>
          <w:i w:val="0"/>
          <w:sz w:val="24"/>
        </w:rPr>
        <w:t>) akibat pengikisan batas tepi oleh penapis.</w:t>
      </w:r>
    </w:p>
    <w:p>
      <w:pPr>
        <w:spacing w:line="360" w:lineRule="auto" w:after="40" w:before="0"/>
        <w:ind w:firstLine="0"/>
        <w:jc w:val="both"/>
      </w:pPr>
      <w:r>
        <w:rPr>
          <w:rFonts w:ascii="Times New Roman" w:hAnsi="Times New Roman"/>
          <w:b/>
          <w:i w:val="0"/>
          <w:sz w:val="24"/>
        </w:rPr>
        <w:t>2.</w:t>
        <w:tab/>
        <w:t>Galat Absolut Rata-Rata (</w:t>
      </w:r>
      <w:r>
        <w:rPr>
          <w:rFonts w:ascii="Times New Roman" w:hAnsi="Times New Roman"/>
          <w:b/>
          <w:i/>
          <w:sz w:val="24"/>
        </w:rPr>
        <w:t>Mean Absolute Error</w:t>
      </w:r>
      <w:r>
        <w:rPr>
          <w:rFonts w:ascii="Times New Roman" w:hAnsi="Times New Roman"/>
          <w:b/>
          <w:i w:val="0"/>
          <w:sz w:val="24"/>
        </w:rPr>
        <w:t xml:space="preserve"> atau MAE)</w:t>
      </w:r>
    </w:p>
    <w:p>
      <w:pPr>
        <w:spacing w:line="360" w:lineRule="auto" w:after="0" w:before="0"/>
        <w:ind w:firstLine="567"/>
        <w:jc w:val="both"/>
      </w:pPr>
      <w:r>
        <w:rPr>
          <w:rFonts w:ascii="Times New Roman" w:hAnsi="Times New Roman"/>
          <w:b w:val="0"/>
          <w:i w:val="0"/>
          <w:sz w:val="24"/>
        </w:rPr>
        <w:t>MAE mengukur magnitudo deviasi kesalahan rata-rata tanpa memedulikan arah positif atau negatif:</w:t>
      </w:r>
    </w:p>
    <w:p>
      <w:pPr>
        <w:spacing w:line="240" w:lineRule="auto" w:after="80" w:before="80"/>
        <w:ind w:firstLine="0"/>
        <w:jc w:val="center"/>
      </w:pPr>
      <m:oMathPara>
        <m:oMathParaPr>
          <m:jc m:val="center"/>
        </m:oMathParaPr>
        <m:oMath>
          <m:r>
            <m:rPr>
              <m:nor/>
            </m:rPr>
            <m:t>MAE</m:t>
          </m:r>
          <m:r>
            <m:t>=</m:t>
          </m:r>
          <m:f>
            <m:fPr>
              <m:type m:val="bar"/>
            </m:fPr>
            <m:num>
              <m:r>
                <m:t>1</m:t>
              </m:r>
            </m:num>
            <m:den>
              <m:r>
                <m:t>N</m:t>
              </m:r>
            </m:den>
          </m:f>
          <m:nary>
            <m:naryPr>
              <m:chr m:val="∑"/>
              <m:limLoc m:val="undOvr"/>
              <m:grow m:val="1"/>
              <m:subHide m:val="off"/>
              <m:supHide m:val="off"/>
            </m:naryPr>
            <m:sub>
              <m:r>
                <m:t>i=1</m:t>
              </m:r>
            </m:sub>
            <m:sup>
              <m:r>
                <m:t>N</m:t>
              </m:r>
            </m:sup>
            <m:e>
              <m:r>
                <m:t>|</m:t>
              </m:r>
            </m:e>
          </m:nary>
          <m:sSub>
            <m:e>
              <m:r>
                <m:rPr>
                  <m:nor/>
                </m:rPr>
                <m:t>CTR</m:t>
              </m:r>
            </m:e>
            <m:sub>
              <m:r>
                <m:rPr>
                  <m:nor/>
                </m:rPr>
                <m:t>restored</m:t>
              </m:r>
              <m:r>
                <m:t>,i</m:t>
              </m:r>
            </m:sub>
          </m:sSub>
          <m:r>
            <m:t>-</m:t>
          </m:r>
          <m:sSub>
            <m:e>
              <m:r>
                <m:rPr>
                  <m:nor/>
                </m:rPr>
                <m:t>CTR</m:t>
              </m:r>
            </m:e>
            <m:sub>
              <m:r>
                <m:rPr>
                  <m:nor/>
                </m:rPr>
                <m:t>ref</m:t>
              </m:r>
              <m:r>
                <m:t>,i</m:t>
              </m:r>
            </m:sub>
          </m:sSub>
          <m:r>
            <m:t>|</m:t>
          </m:r>
        </m:oMath>
      </m:oMathPara>
    </w:p>
    <w:p>
      <w:pPr>
        <w:spacing w:line="360" w:lineRule="auto" w:after="0" w:before="0"/>
        <w:ind w:firstLine="567"/>
        <w:jc w:val="both"/>
      </w:pPr>
      <w:r>
        <w:rPr>
          <w:rFonts w:ascii="Times New Roman" w:hAnsi="Times New Roman"/>
          <w:b w:val="0"/>
          <w:i w:val="0"/>
          <w:sz w:val="24"/>
        </w:rPr>
        <w:t>Nilai MAE menjadi indikator utama dalam menguji keandalan restorasi, di mana nilai MAE yang mendekati nol merepresentasikan kesalahan klinis yang minimal.</w:t>
      </w:r>
    </w:p>
    <w:p>
      <w:pPr>
        <w:spacing w:line="360" w:lineRule="auto" w:after="40" w:before="0"/>
        <w:ind w:firstLine="0"/>
        <w:jc w:val="both"/>
      </w:pPr>
      <w:r>
        <w:rPr>
          <w:rFonts w:ascii="Times New Roman" w:hAnsi="Times New Roman"/>
          <w:b/>
          <w:i w:val="0"/>
          <w:sz w:val="24"/>
        </w:rPr>
        <w:t>3.</w:t>
        <w:tab/>
        <w:t>Korelasi Linear Pearson (</w:t>
      </w:r>
      <w:r>
        <w:rPr>
          <w:rFonts w:ascii="Times New Roman" w:hAnsi="Times New Roman"/>
          <w:b/>
          <w:i/>
          <w:sz w:val="24"/>
        </w:rPr>
        <w:t>r</w:t>
      </w:r>
      <w:r>
        <w:rPr>
          <w:rFonts w:ascii="Times New Roman" w:hAnsi="Times New Roman"/>
          <w:b/>
          <w:i w:val="0"/>
          <w:sz w:val="24"/>
        </w:rPr>
        <w:t>)</w:t>
      </w:r>
    </w:p>
    <w:p>
      <w:pPr>
        <w:spacing w:line="360" w:lineRule="auto" w:after="0" w:before="0"/>
        <w:ind w:firstLine="567"/>
        <w:jc w:val="both"/>
      </w:pPr>
      <w:r>
        <w:rPr>
          <w:rFonts w:ascii="Times New Roman" w:hAnsi="Times New Roman"/>
          <w:b w:val="0"/>
          <w:i w:val="0"/>
          <w:sz w:val="24"/>
        </w:rPr>
        <w:t>Korelasi Pearson digunakan sebagai analisis pendukung guna mengukur kekuatan hubungan linear antara nilai CTR hasil restorasi dan acuan standar:</w:t>
      </w:r>
    </w:p>
    <w:p>
      <w:pPr>
        <w:spacing w:line="240" w:lineRule="auto" w:after="80" w:before="80"/>
        <w:ind w:firstLine="0"/>
        <w:jc w:val="center"/>
      </w:pPr>
      <m:oMathPara>
        <m:oMathParaPr>
          <m:jc m:val="center"/>
        </m:oMathParaPr>
        <m:oMath>
          <m:r>
            <m:t>r=</m:t>
          </m:r>
          <m:f>
            <m:fPr>
              <m:type m:val="bar"/>
            </m:fPr>
            <m:num>
              <m:nary>
                <m:naryPr>
                  <m:chr m:val="∑"/>
                  <m:limLoc m:val="undOvr"/>
                  <m:grow m:val="1"/>
                  <m:subHide m:val="off"/>
                  <m:supHide m:val="off"/>
                </m:naryPr>
                <m:sub>
                  <m:r>
                    <m:t>i=1</m:t>
                  </m:r>
                </m:sub>
                <m:sup>
                  <m:r>
                    <m:t>N</m:t>
                  </m:r>
                </m:sup>
                <m:e>
                  <m:r>
                    <m:t>(</m:t>
                  </m:r>
                </m:e>
              </m:nary>
              <m:sSub>
                <m:e>
                  <m:r>
                    <m:rPr>
                      <m:nor/>
                    </m:rPr>
                    <m:t>CTR</m:t>
                  </m:r>
                </m:e>
                <m:sub>
                  <m:r>
                    <m:rPr>
                      <m:nor/>
                    </m:rPr>
                    <m:t>restored</m:t>
                  </m:r>
                  <m:r>
                    <m:t>,i</m:t>
                  </m:r>
                </m:sub>
              </m:sSub>
              <m:r>
                <m:t>-</m:t>
              </m:r>
              <m:sSub>
                <m:e>
                  <m:bar>
                    <m:barPr>
                      <m:pos m:val="top"/>
                    </m:barPr>
                    <m:e>
                      <m:r>
                        <m:rPr>
                          <m:nor/>
                        </m:rPr>
                        <m:t>CTR</m:t>
                      </m:r>
                    </m:e>
                  </m:bar>
                </m:e>
                <m:sub>
                  <m:r>
                    <m:rPr>
                      <m:nor/>
                    </m:rPr>
                    <m:t>restored</m:t>
                  </m:r>
                </m:sub>
              </m:sSub>
              <m:r>
                <m:t>)(</m:t>
              </m:r>
              <m:sSub>
                <m:e>
                  <m:r>
                    <m:rPr>
                      <m:nor/>
                    </m:rPr>
                    <m:t>CTR</m:t>
                  </m:r>
                </m:e>
                <m:sub>
                  <m:r>
                    <m:rPr>
                      <m:nor/>
                    </m:rPr>
                    <m:t>ref</m:t>
                  </m:r>
                  <m:r>
                    <m:t>,i</m:t>
                  </m:r>
                </m:sub>
              </m:sSub>
              <m:r>
                <m:t>-</m:t>
              </m:r>
              <m:sSub>
                <m:e>
                  <m:bar>
                    <m:barPr>
                      <m:pos m:val="top"/>
                    </m:barPr>
                    <m:e>
                      <m:r>
                        <m:rPr>
                          <m:nor/>
                        </m:rPr>
                        <m:t>CTR</m:t>
                      </m:r>
                    </m:e>
                  </m:bar>
                </m:e>
                <m:sub>
                  <m:r>
                    <m:rPr>
                      <m:nor/>
                    </m:rPr>
                    <m:t>ref</m:t>
                  </m:r>
                </m:sub>
              </m:sSub>
              <m:r>
                <m:t>)</m:t>
              </m:r>
            </m:num>
            <m:den>
              <m:rad>
                <m:radPr>
                  <m:degHide m:val="on"/>
                </m:radPr>
                <m:deg/>
                <m:e>
                  <m:nary>
                    <m:naryPr>
                      <m:chr m:val="∑"/>
                      <m:limLoc m:val="undOvr"/>
                      <m:grow m:val="1"/>
                      <m:subHide m:val="off"/>
                      <m:supHide m:val="off"/>
                    </m:naryPr>
                    <m:sub>
                      <m:r>
                        <m:t>i=1</m:t>
                      </m:r>
                    </m:sub>
                    <m:sup>
                      <m:r>
                        <m:t>N</m:t>
                      </m:r>
                    </m:sup>
                    <m:e>
                      <m:sSup>
                        <m:e>
                          <m:d>
                            <m:dPr>
                              <m:sepChr m:val="-"/>
                            </m:dPr>
                            <m:e>
                              <m:sSub>
                                <m:e>
                                  <m:r>
                                    <m:rPr>
                                      <m:nor/>
                                    </m:rPr>
                                    <m:t>CTR</m:t>
                                  </m:r>
                                </m:e>
                                <m:sub>
                                  <m:r>
                                    <m:rPr>
                                      <m:nor/>
                                    </m:rPr>
                                    <m:t>restored</m:t>
                                  </m:r>
                                  <m:r>
                                    <m:t>,i</m:t>
                                  </m:r>
                                </m:sub>
                              </m:sSub>
                            </m:e>
                            <m:e>
                              <m:sSub>
                                <m:e>
                                  <m:bar>
                                    <m:barPr>
                                      <m:pos m:val="top"/>
                                    </m:barPr>
                                    <m:e>
                                      <m:r>
                                        <m:rPr>
                                          <m:nor/>
                                        </m:rPr>
                                        <m:t>CTR</m:t>
                                      </m:r>
                                    </m:e>
                                  </m:bar>
                                </m:e>
                                <m:sub>
                                  <m:r>
                                    <m:rPr>
                                      <m:nor/>
                                    </m:rPr>
                                    <m:t>restored</m:t>
                                  </m:r>
                                </m:sub>
                              </m:sSub>
                            </m:e>
                          </m:d>
                        </m:e>
                        <m:sup>
                          <m:r>
                            <m:t>2</m:t>
                          </m:r>
                        </m:sup>
                      </m:sSup>
                    </m:e>
                  </m:nary>
                  <m:nary>
                    <m:naryPr>
                      <m:chr m:val="∑"/>
                      <m:limLoc m:val="undOvr"/>
                      <m:grow m:val="1"/>
                      <m:subHide m:val="off"/>
                      <m:supHide m:val="off"/>
                    </m:naryPr>
                    <m:sub>
                      <m:r>
                        <m:t>i=1</m:t>
                      </m:r>
                    </m:sub>
                    <m:sup>
                      <m:r>
                        <m:t>N</m:t>
                      </m:r>
                    </m:sup>
                    <m:e>
                      <m:sSup>
                        <m:e>
                          <m:d>
                            <m:dPr>
                              <m:sepChr m:val="-"/>
                            </m:dPr>
                            <m:e>
                              <m:sSub>
                                <m:e>
                                  <m:r>
                                    <m:rPr>
                                      <m:nor/>
                                    </m:rPr>
                                    <m:t>CTR</m:t>
                                  </m:r>
                                </m:e>
                                <m:sub>
                                  <m:r>
                                    <m:rPr>
                                      <m:nor/>
                                    </m:rPr>
                                    <m:t>ref</m:t>
                                  </m:r>
                                  <m:r>
                                    <m:t>,i</m:t>
                                  </m:r>
                                </m:sub>
                              </m:sSub>
                            </m:e>
                            <m:e>
                              <m:sSub>
                                <m:e>
                                  <m:bar>
                                    <m:barPr>
                                      <m:pos m:val="top"/>
                                    </m:barPr>
                                    <m:e>
                                      <m:r>
                                        <m:rPr>
                                          <m:nor/>
                                        </m:rPr>
                                        <m:t>CTR</m:t>
                                      </m:r>
                                    </m:e>
                                  </m:bar>
                                </m:e>
                                <m:sub>
                                  <m:r>
                                    <m:rPr>
                                      <m:nor/>
                                    </m:rPr>
                                    <m:t>ref</m:t>
                                  </m:r>
                                </m:sub>
                              </m:sSub>
                            </m:e>
                          </m:d>
                        </m:e>
                        <m:sup>
                          <m:r>
                            <m:t>2</m:t>
                          </m:r>
                        </m:sup>
                      </m:sSup>
                    </m:e>
                  </m:nary>
                </m:e>
              </m:rad>
            </m:den>
          </m:f>
        </m:oMath>
      </m:oMathPara>
    </w:p>
    <w:p>
      <w:pPr>
        <w:spacing w:line="360" w:lineRule="auto" w:after="0" w:before="0"/>
        <w:ind w:firstLine="567"/>
        <w:jc w:val="both"/>
      </w:pPr>
      <w:r>
        <w:rPr>
          <w:rFonts w:ascii="Times New Roman" w:hAnsi="Times New Roman"/>
          <w:b w:val="0"/>
          <w:i w:val="0"/>
          <w:sz w:val="24"/>
        </w:rPr>
        <w:t xml:space="preserve">Nilai </w:t>
      </w:r>
      <w:r>
        <w:rPr>
          <w:rFonts w:ascii="Times New Roman" w:hAnsi="Times New Roman"/>
          <w:b w:val="0"/>
          <w:i/>
          <w:sz w:val="24"/>
        </w:rPr>
        <w:t>r</w:t>
      </w:r>
      <w:r>
        <w:rPr>
          <w:rFonts w:ascii="Times New Roman" w:hAnsi="Times New Roman"/>
          <w:b w:val="0"/>
          <w:i w:val="0"/>
          <w:sz w:val="24"/>
        </w:rPr>
        <w:t xml:space="preserve"> mendekati 1 menunjukkan bahwa metode restorasi mempertahankan urutan dan proporsi nilai biometri pasien secara konsisten.</w:t>
      </w:r>
    </w:p>
    <w:p>
      <w:pPr>
        <w:spacing w:line="360" w:lineRule="auto" w:after="80" w:before="160"/>
        <w:ind w:firstLine="0"/>
        <w:jc w:val="left"/>
      </w:pPr>
      <w:r>
        <w:rPr>
          <w:rFonts w:ascii="Times New Roman" w:hAnsi="Times New Roman"/>
          <w:b/>
          <w:i w:val="0"/>
          <w:sz w:val="24"/>
        </w:rPr>
        <w:t>2.6.3</w:t>
        <w:tab/>
        <w:t>Analisis Kesepakatan Bland–Altman (</w:t>
      </w:r>
      <w:r>
        <w:rPr>
          <w:rFonts w:ascii="Times New Roman" w:hAnsi="Times New Roman"/>
          <w:b/>
          <w:i/>
          <w:sz w:val="24"/>
        </w:rPr>
        <w:t>Bland–Altman Agreement Analysis</w:t>
      </w:r>
      <w:r>
        <w:rPr>
          <w:rFonts w:ascii="Times New Roman" w:hAnsi="Times New Roman"/>
          <w:b/>
          <w:i w:val="0"/>
          <w:sz w:val="24"/>
        </w:rPr>
        <w:t>)</w:t>
      </w:r>
    </w:p>
    <w:p>
      <w:pPr>
        <w:spacing w:line="360" w:lineRule="auto" w:after="0" w:before="0"/>
        <w:ind w:firstLine="567"/>
        <w:jc w:val="both"/>
      </w:pPr>
      <w:r>
        <w:rPr>
          <w:rFonts w:ascii="Times New Roman" w:hAnsi="Times New Roman"/>
          <w:b w:val="0"/>
          <w:i w:val="0"/>
          <w:sz w:val="24"/>
        </w:rPr>
        <w:t>Korelasi linear yang tinggi tidak serta merta membuktikan adanya kesepakatan (</w:t>
      </w:r>
      <w:r>
        <w:rPr>
          <w:rFonts w:ascii="Times New Roman" w:hAnsi="Times New Roman"/>
          <w:b w:val="0"/>
          <w:i/>
          <w:sz w:val="24"/>
        </w:rPr>
        <w:t>agreement</w:t>
      </w:r>
      <w:r>
        <w:rPr>
          <w:rFonts w:ascii="Times New Roman" w:hAnsi="Times New Roman"/>
          <w:b w:val="0"/>
          <w:i w:val="0"/>
          <w:sz w:val="24"/>
        </w:rPr>
        <w:t>) klinis yang setara antara dua metode pengukuran (Bland &amp; Altman, 1986). Dua metode dapat memiliki korelasi linear mendekati 1 meskipun terdapat perbedaan sistematis yang konstan. Oleh karena itu, analisis grafis dan kuantitatif Bland–Altman diterapkan untuk mengevaluasi derajat kesesuaian klinis antara pengukuran CTR pasca-restorasi dan acuan standar.</w:t>
      </w:r>
    </w:p>
    <w:p>
      <w:pPr>
        <w:spacing w:line="360" w:lineRule="auto" w:after="0" w:before="0"/>
        <w:ind w:firstLine="567"/>
        <w:jc w:val="both"/>
      </w:pPr>
      <w:r>
        <w:rPr>
          <w:rFonts w:ascii="Times New Roman" w:hAnsi="Times New Roman"/>
          <w:b w:val="0"/>
          <w:i w:val="0"/>
          <w:sz w:val="24"/>
        </w:rPr>
        <w:t>Plot Bland–Altman memetakan selisih perbedaan pengukuran (</w:t>
      </w:r>
      <w:r>
        <w:rPr>
          <w:rFonts w:ascii="Times New Roman" w:hAnsi="Times New Roman"/>
          <w:b w:val="0"/>
          <w:i/>
          <w:sz w:val="24"/>
        </w:rPr>
        <w:t>d</w:t>
      </w:r>
      <w:r>
        <w:rPr>
          <w:rFonts w:ascii="Times New Roman" w:hAnsi="Times New Roman"/>
          <w:b w:val="0"/>
          <w:i/>
          <w:sz w:val="24"/>
          <w:vertAlign w:val="subscript"/>
        </w:rPr>
        <w:t>i</w:t>
      </w:r>
      <w:r>
        <w:rPr>
          <w:rFonts w:ascii="Times New Roman" w:hAnsi="Times New Roman"/>
          <w:b w:val="0"/>
          <w:i w:val="0"/>
          <w:sz w:val="24"/>
        </w:rPr>
        <w:t xml:space="preserve"> = CTR</w:t>
      </w:r>
      <w:r>
        <w:rPr>
          <w:rFonts w:ascii="Times New Roman" w:hAnsi="Times New Roman"/>
          <w:b w:val="0"/>
          <w:i/>
          <w:sz w:val="24"/>
          <w:vertAlign w:val="subscript"/>
        </w:rPr>
        <w:t>restored</w:t>
      </w:r>
      <w:r>
        <w:rPr>
          <w:rFonts w:ascii="Times New Roman" w:hAnsi="Times New Roman"/>
          <w:b w:val="0"/>
          <w:i/>
          <w:sz w:val="24"/>
          <w:vertAlign w:val="subscript"/>
        </w:rPr>
        <w:t>,i</w:t>
      </w:r>
      <w:r>
        <w:rPr>
          <w:rFonts w:ascii="Times New Roman" w:hAnsi="Times New Roman"/>
          <w:b w:val="0"/>
          <w:i w:val="0"/>
          <w:sz w:val="24"/>
        </w:rPr>
        <w:t xml:space="preserve"> − CTR</w:t>
      </w:r>
      <w:r>
        <w:rPr>
          <w:rFonts w:ascii="Times New Roman" w:hAnsi="Times New Roman"/>
          <w:b w:val="0"/>
          <w:i/>
          <w:sz w:val="24"/>
          <w:vertAlign w:val="subscript"/>
        </w:rPr>
        <w:t>ref</w:t>
      </w:r>
      <w:r>
        <w:rPr>
          <w:rFonts w:ascii="Times New Roman" w:hAnsi="Times New Roman"/>
          <w:b w:val="0"/>
          <w:i/>
          <w:sz w:val="24"/>
          <w:vertAlign w:val="subscript"/>
        </w:rPr>
        <w:t>,i</w:t>
      </w:r>
      <w:r>
        <w:rPr>
          <w:rFonts w:ascii="Times New Roman" w:hAnsi="Times New Roman"/>
          <w:b w:val="0"/>
          <w:i w:val="0"/>
          <w:sz w:val="24"/>
        </w:rPr>
        <w:t>) pada sumbu vertikal terhadap nilai rata-rata dari kedua pengukuran pada sumbu horizontal. Kesepakatan klinis dinilai berdasarkan garis bias rata-rata (</w:t>
      </w:r>
      <w:r>
        <w:rPr>
          <w:rFonts w:ascii="Times New Roman" w:hAnsi="Times New Roman"/>
          <w:b w:val="0"/>
          <w:i/>
          <w:sz w:val="24"/>
        </w:rPr>
        <w:t>d̄</w:t>
      </w:r>
      <w:r>
        <w:rPr>
          <w:rFonts w:ascii="Times New Roman" w:hAnsi="Times New Roman"/>
          <w:b w:val="0"/>
          <w:i w:val="0"/>
          <w:sz w:val="24"/>
        </w:rPr>
        <w:t>) dan rentang batas kesepakatan (</w:t>
      </w:r>
      <w:r>
        <w:rPr>
          <w:rFonts w:ascii="Times New Roman" w:hAnsi="Times New Roman"/>
          <w:b w:val="0"/>
          <w:i/>
          <w:sz w:val="24"/>
        </w:rPr>
        <w:t>Limits of Agreement</w:t>
      </w:r>
      <w:r>
        <w:rPr>
          <w:rFonts w:ascii="Times New Roman" w:hAnsi="Times New Roman"/>
          <w:b w:val="0"/>
          <w:i w:val="0"/>
          <w:sz w:val="24"/>
        </w:rPr>
        <w:t xml:space="preserve"> atau LoA):</w:t>
      </w:r>
    </w:p>
    <w:p>
      <w:pPr>
        <w:spacing w:line="240" w:lineRule="auto" w:after="80" w:before="80"/>
        <w:ind w:firstLine="0"/>
        <w:jc w:val="center"/>
      </w:pPr>
      <m:oMathPara>
        <m:oMathParaPr>
          <m:jc m:val="center"/>
        </m:oMathParaPr>
        <m:oMath>
          <m:r>
            <m:rPr>
              <m:nor/>
            </m:rPr>
            <m:t>LoA</m:t>
          </m:r>
          <m:r>
            <m:t>=</m:t>
          </m:r>
          <m:bar>
            <m:barPr>
              <m:pos m:val="top"/>
            </m:barPr>
            <m:e>
              <m:r>
                <m:t>d</m:t>
              </m:r>
            </m:e>
          </m:bar>
          <m:r>
            <m:t>±</m:t>
          </m:r>
          <m:r>
            <m:rPr>
              <m:sty m:val="p"/>
            </m:rPr>
            <m:t>1,96</m:t>
          </m:r>
          <m:r>
            <m:t>·</m:t>
          </m:r>
          <m:r>
            <m:rPr>
              <m:nor/>
            </m:rPr>
            <m:t>SD</m:t>
          </m:r>
        </m:oMath>
      </m:oMathPara>
    </w:p>
    <w:p>
      <w:pPr>
        <w:spacing w:line="360" w:lineRule="auto" w:after="0" w:before="0"/>
        <w:ind w:firstLine="567"/>
        <w:jc w:val="both"/>
      </w:pPr>
      <w:r>
        <w:rPr>
          <w:rFonts w:ascii="Times New Roman" w:hAnsi="Times New Roman"/>
          <w:b w:val="0"/>
          <w:i w:val="0"/>
          <w:sz w:val="24"/>
        </w:rPr>
        <w:t>di mana SD adalah simpangan baku dari selisih perbedaan pengukuran. Secara statistik, sebanyak 95% selisih pengukuran diharapkan berada di dalam rentang LoA. Metode restorasi dinyatakan memiliki kesepakatan klinis yang dapat diterima (</w:t>
      </w:r>
      <w:r>
        <w:rPr>
          <w:rFonts w:ascii="Times New Roman" w:hAnsi="Times New Roman"/>
          <w:b w:val="0"/>
          <w:i/>
          <w:sz w:val="24"/>
        </w:rPr>
        <w:t>clinically acceptable</w:t>
      </w:r>
      <w:r>
        <w:rPr>
          <w:rFonts w:ascii="Times New Roman" w:hAnsi="Times New Roman"/>
          <w:b w:val="0"/>
          <w:i w:val="0"/>
          <w:sz w:val="24"/>
        </w:rPr>
        <w:t>) apabila nilai bias rata-rata mendekati nol dan seluruh rentang LoA berada di dalam batas toleransi variabilitas diagnostik kardiomegali yang diizinkan secara medis (misalnya rentang galat CTR tidak melebihi ± 0,02 atau 2%).</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