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240"/>
        <w:ind w:firstLine="0"/>
        <w:jc w:val="left"/>
      </w:pPr>
      <w:r>
        <w:rPr>
          <w:rFonts w:ascii="Times New Roman" w:hAnsi="Times New Roman"/>
          <w:b/>
          <w:i w:val="0"/>
          <w:sz w:val="24"/>
        </w:rPr>
        <w:t>2.6</w:t>
        <w:tab/>
        <w:t>Evaluasi Berbasis Tugas Klinis</w:t>
      </w:r>
    </w:p>
    <w:p>
      <w:pPr>
        <w:spacing w:line="360" w:lineRule="auto" w:after="0" w:before="0"/>
        <w:ind w:firstLine="567"/>
        <w:jc w:val="both"/>
      </w:pPr>
      <w:r>
        <w:rPr>
          <w:rFonts w:ascii="Times New Roman" w:hAnsi="Times New Roman"/>
          <w:b w:val="0"/>
          <w:i w:val="0"/>
          <w:sz w:val="24"/>
        </w:rPr>
        <w:t>Evaluasi kualitas citra konvensional berbasis fidelitas piksel global (PSNR dan SSIM) belum mencerminkan keberhasilan klinis sesungguhnya. Oleh karena itu, penelitian ini menerapkan paradigma evaluasi berbasis tugas (</w:t>
      </w:r>
      <w:r>
        <w:rPr>
          <w:rFonts w:ascii="Times New Roman" w:hAnsi="Times New Roman"/>
          <w:b w:val="0"/>
          <w:i/>
          <w:sz w:val="24"/>
        </w:rPr>
        <w:t>task-based evaluation</w:t>
      </w:r>
      <w:r>
        <w:rPr>
          <w:rFonts w:ascii="Times New Roman" w:hAnsi="Times New Roman"/>
          <w:b w:val="0"/>
          <w:i w:val="0"/>
          <w:sz w:val="24"/>
        </w:rPr>
        <w:t>) yang berfokus langsung pada dua aspek utama, yaitu kemampuan algoritma restorasi dalam melestarikan batas kontur anatomi organ (</w:t>
      </w:r>
      <w:r>
        <w:rPr>
          <w:rFonts w:ascii="Times New Roman" w:hAnsi="Times New Roman"/>
          <w:b w:val="0"/>
          <w:i/>
          <w:sz w:val="24"/>
        </w:rPr>
        <w:t>boundary preservation</w:t>
      </w:r>
      <w:r>
        <w:rPr>
          <w:rFonts w:ascii="Times New Roman" w:hAnsi="Times New Roman"/>
          <w:b w:val="0"/>
          <w:i w:val="0"/>
          <w:sz w:val="24"/>
        </w:rPr>
        <w:t xml:space="preserve">) serta ketepatan hasil pengukuran biometrik </w:t>
      </w:r>
      <w:r>
        <w:rPr>
          <w:rFonts w:ascii="Times New Roman" w:hAnsi="Times New Roman"/>
          <w:b w:val="0"/>
          <w:i/>
          <w:sz w:val="24"/>
        </w:rPr>
        <w:t>Cardiothoracic Ratio</w:t>
      </w:r>
      <w:r>
        <w:rPr>
          <w:rFonts w:ascii="Times New Roman" w:hAnsi="Times New Roman"/>
          <w:b w:val="0"/>
          <w:i w:val="0"/>
          <w:sz w:val="24"/>
        </w:rPr>
        <w:t xml:space="preserve"> (CTR).</w:t>
      </w:r>
    </w:p>
    <w:p>
      <w:pPr>
        <w:spacing w:line="360" w:lineRule="auto" w:after="80" w:before="160"/>
        <w:ind w:firstLine="0"/>
        <w:jc w:val="left"/>
      </w:pPr>
      <w:r>
        <w:rPr>
          <w:rFonts w:ascii="Times New Roman" w:hAnsi="Times New Roman"/>
          <w:b/>
          <w:i w:val="0"/>
          <w:sz w:val="24"/>
        </w:rPr>
        <w:t>2.6.1</w:t>
        <w:tab/>
        <w:t>Pelestarian Batas Anatomi (</w:t>
      </w:r>
      <w:r>
        <w:rPr>
          <w:rFonts w:ascii="Times New Roman" w:hAnsi="Times New Roman"/>
          <w:b/>
          <w:i/>
          <w:sz w:val="24"/>
        </w:rPr>
        <w:t>Boundary Preservation</w:t>
      </w:r>
      <w:r>
        <w:rPr>
          <w:rFonts w:ascii="Times New Roman" w:hAnsi="Times New Roman"/>
          <w:b/>
          <w:i w:val="0"/>
          <w:sz w:val="24"/>
        </w:rPr>
        <w:t>)</w:t>
      </w:r>
    </w:p>
    <w:p>
      <w:pPr>
        <w:spacing w:line="360" w:lineRule="auto" w:after="0" w:before="0"/>
        <w:ind w:firstLine="567"/>
        <w:jc w:val="both"/>
      </w:pPr>
      <w:r>
        <w:rPr>
          <w:rFonts w:ascii="Times New Roman" w:hAnsi="Times New Roman"/>
          <w:b w:val="0"/>
          <w:i w:val="0"/>
          <w:sz w:val="24"/>
        </w:rPr>
        <w:t>Pelestarian batas anatomi mengukur sejauh mana proses penapisan derau mampu mempertahankan ketajaman dan integritas geometris garis tepi organ kardioperikardial serta dinding toraks tanpa menimbulkan distorsi struktural, efek pengaburan (</w:t>
      </w:r>
      <w:r>
        <w:rPr>
          <w:rFonts w:ascii="Times New Roman" w:hAnsi="Times New Roman"/>
          <w:b w:val="0"/>
          <w:i/>
          <w:sz w:val="24"/>
        </w:rPr>
        <w:t>over-smoothing</w:t>
      </w:r>
      <w:r>
        <w:rPr>
          <w:rFonts w:ascii="Times New Roman" w:hAnsi="Times New Roman"/>
          <w:b w:val="0"/>
          <w:i w:val="0"/>
          <w:sz w:val="24"/>
        </w:rPr>
        <w:t>), maupun artefak halusinasi. Evaluasi pelestarian batas dilakukan melalui perbandingan antara kontur segmentasi hasil restorasi dan kontur acuan bersih menggunakan tiga metrik kuantitatif:</w:t>
      </w:r>
    </w:p>
    <w:p>
      <w:pPr>
        <w:spacing w:line="360" w:lineRule="auto" w:after="40" w:before="0"/>
        <w:ind w:firstLine="0"/>
        <w:jc w:val="both"/>
      </w:pPr>
      <w:r>
        <w:rPr>
          <w:rFonts w:ascii="Times New Roman" w:hAnsi="Times New Roman"/>
          <w:b/>
          <w:i w:val="0"/>
          <w:sz w:val="24"/>
        </w:rPr>
        <w:t>1.</w:t>
        <w:tab/>
        <w:t>Koefisien Kemiripan Dice (</w:t>
      </w:r>
      <w:r>
        <w:rPr>
          <w:rFonts w:ascii="Times New Roman" w:hAnsi="Times New Roman"/>
          <w:b/>
          <w:i/>
          <w:sz w:val="24"/>
        </w:rPr>
        <w:t>Dice Similarity Coefficient</w:t>
      </w:r>
      <w:r>
        <w:rPr>
          <w:rFonts w:ascii="Times New Roman" w:hAnsi="Times New Roman"/>
          <w:b/>
          <w:i w:val="0"/>
          <w:sz w:val="24"/>
        </w:rPr>
        <w:t xml:space="preserve"> atau DSC)</w:t>
      </w:r>
    </w:p>
    <w:p>
      <w:pPr>
        <w:spacing w:line="360" w:lineRule="auto" w:after="0" w:before="0"/>
        <w:ind w:firstLine="567"/>
        <w:jc w:val="both"/>
      </w:pPr>
      <w:r>
        <w:rPr>
          <w:rFonts w:ascii="Times New Roman" w:hAnsi="Times New Roman"/>
          <w:b w:val="0"/>
          <w:i w:val="0"/>
          <w:sz w:val="24"/>
        </w:rPr>
        <w:t>DSC mengukur derajat tumpang-tindih spasial (</w:t>
      </w:r>
      <w:r>
        <w:rPr>
          <w:rFonts w:ascii="Times New Roman" w:hAnsi="Times New Roman"/>
          <w:b w:val="0"/>
          <w:i/>
          <w:sz w:val="24"/>
        </w:rPr>
        <w:t>spatial overlap</w:t>
      </w:r>
      <w:r>
        <w:rPr>
          <w:rFonts w:ascii="Times New Roman" w:hAnsi="Times New Roman"/>
          <w:b w:val="0"/>
          <w:i w:val="0"/>
          <w:sz w:val="24"/>
        </w:rPr>
        <w:t xml:space="preserve">) antara area biner kontur acuan </w:t>
      </w:r>
      <w:r>
        <w:rPr>
          <w:rFonts w:ascii="Times New Roman" w:hAnsi="Times New Roman"/>
          <w:b w:val="0"/>
          <w:i/>
          <w:sz w:val="24"/>
        </w:rPr>
        <w:t>A</w:t>
      </w:r>
      <w:r>
        <w:rPr>
          <w:rFonts w:ascii="Times New Roman" w:hAnsi="Times New Roman"/>
          <w:b w:val="0"/>
          <w:i w:val="0"/>
          <w:sz w:val="24"/>
        </w:rPr>
        <w:t xml:space="preserve"> dan kontur hasil restorasi </w:t>
      </w:r>
      <w:r>
        <w:rPr>
          <w:rFonts w:ascii="Times New Roman" w:hAnsi="Times New Roman"/>
          <w:b w:val="0"/>
          <w:i/>
          <w:sz w:val="24"/>
        </w:rPr>
        <w:t>B</w:t>
      </w:r>
      <w:r>
        <w:rPr>
          <w:rFonts w:ascii="Times New Roman" w:hAnsi="Times New Roman"/>
          <w:b w:val="0"/>
          <w:i w:val="0"/>
          <w:sz w:val="24"/>
        </w:rPr>
        <w:t>:</w:t>
      </w:r>
    </w:p>
    <w:p>
      <w:pPr>
        <w:spacing w:line="240" w:lineRule="auto" w:after="80" w:before="80"/>
        <w:ind w:firstLine="0"/>
        <w:jc w:val="center"/>
      </w:pPr>
      <m:oMathPara>
        <m:oMathParaPr>
          <m:jc m:val="center"/>
        </m:oMathParaPr>
        <m:oMath>
          <m:r>
            <m:rPr>
              <m:nor/>
            </m:rPr>
            <m:t>DSC</m:t>
          </m:r>
          <m:r>
            <m:t>(A,B)=</m:t>
          </m:r>
          <m:f>
            <m:fPr>
              <m:type m:val="bar"/>
            </m:fPr>
            <m:num>
              <m:r>
                <m:t>2|A∩B|</m:t>
              </m:r>
            </m:num>
            <m:den>
              <m:d>
                <m:dPr>
                  <m:begChr m:val="|"/>
                  <m:sepChr m:val=""/>
                  <m:endChr m:val="|"/>
                </m:dPr>
                <m:e>
                  <m:r>
                    <m:t>A</m:t>
                  </m:r>
                  <m:r>
                    <m:t>|</m:t>
                  </m:r>
                  <m:r>
                    <m:t>+</m:t>
                  </m:r>
                  <m:r>
                    <m:t>|</m:t>
                  </m:r>
                  <m:r>
                    <m:t>B</m:t>
                  </m:r>
                </m:e>
              </m:d>
            </m:den>
          </m:f>
        </m:oMath>
      </m:oMathPara>
    </w:p>
    <w:p>
      <w:pPr>
        <w:spacing w:line="360" w:lineRule="auto" w:after="0" w:before="0"/>
        <w:ind w:firstLine="567"/>
        <w:jc w:val="both"/>
      </w:pPr>
      <w:r>
        <w:rPr>
          <w:rFonts w:ascii="Times New Roman" w:hAnsi="Times New Roman"/>
          <w:b w:val="0"/>
          <w:i w:val="0"/>
          <w:sz w:val="24"/>
        </w:rPr>
        <w:t>Nilai DSC berada pada rentang 0 hingga 1, dengan nilai mendekati 1 merepresentasikan tingkat kesesuaian area anatomi yang semakin sempurna.</w:t>
      </w:r>
    </w:p>
    <w:p>
      <w:pPr>
        <w:spacing w:line="360" w:lineRule="auto" w:after="40" w:before="0"/>
        <w:ind w:firstLine="0"/>
        <w:jc w:val="both"/>
      </w:pPr>
      <w:r>
        <w:rPr>
          <w:rFonts w:ascii="Times New Roman" w:hAnsi="Times New Roman"/>
          <w:b/>
          <w:i w:val="0"/>
          <w:sz w:val="24"/>
        </w:rPr>
        <w:t>2.</w:t>
        <w:tab/>
        <w:t>Jarak Hausdorff (</w:t>
      </w:r>
      <w:r>
        <w:rPr>
          <w:rFonts w:ascii="Times New Roman" w:hAnsi="Times New Roman"/>
          <w:b/>
          <w:i/>
          <w:sz w:val="24"/>
        </w:rPr>
        <w:t>Hausdorff Distance</w:t>
      </w:r>
      <w:r>
        <w:rPr>
          <w:rFonts w:ascii="Times New Roman" w:hAnsi="Times New Roman"/>
          <w:b/>
          <w:i w:val="0"/>
          <w:sz w:val="24"/>
        </w:rPr>
        <w:t xml:space="preserve"> atau HD)</w:t>
      </w:r>
    </w:p>
    <w:p>
      <w:pPr>
        <w:spacing w:line="360" w:lineRule="auto" w:after="0" w:before="0"/>
        <w:ind w:firstLine="567"/>
        <w:jc w:val="both"/>
      </w:pPr>
      <w:r>
        <w:rPr>
          <w:rFonts w:ascii="Times New Roman" w:hAnsi="Times New Roman"/>
          <w:b w:val="0"/>
          <w:i w:val="0"/>
          <w:sz w:val="24"/>
        </w:rPr>
        <w:t>HD mengukur jarak pemisahan spasial maksimum terburuk (</w:t>
      </w:r>
      <w:r>
        <w:rPr>
          <w:rFonts w:ascii="Times New Roman" w:hAnsi="Times New Roman"/>
          <w:b w:val="0"/>
          <w:i/>
          <w:sz w:val="24"/>
        </w:rPr>
        <w:t>worst-case boundary distance</w:t>
      </w:r>
      <w:r>
        <w:rPr>
          <w:rFonts w:ascii="Times New Roman" w:hAnsi="Times New Roman"/>
          <w:b w:val="0"/>
          <w:i w:val="0"/>
          <w:sz w:val="24"/>
        </w:rPr>
        <w:t xml:space="preserve">) antara titik-titik pada kontur acuan </w:t>
      </w:r>
      <w:r>
        <w:rPr>
          <w:rFonts w:ascii="Times New Roman" w:hAnsi="Times New Roman"/>
          <w:b w:val="0"/>
          <w:i/>
          <w:sz w:val="24"/>
        </w:rPr>
        <w:t>A</w:t>
      </w:r>
      <w:r>
        <w:rPr>
          <w:rFonts w:ascii="Times New Roman" w:hAnsi="Times New Roman"/>
          <w:b w:val="0"/>
          <w:i w:val="0"/>
          <w:sz w:val="24"/>
        </w:rPr>
        <w:t xml:space="preserve"> dan kontur restorasi </w:t>
      </w:r>
      <w:r>
        <w:rPr>
          <w:rFonts w:ascii="Times New Roman" w:hAnsi="Times New Roman"/>
          <w:b w:val="0"/>
          <w:i/>
          <w:sz w:val="24"/>
        </w:rPr>
        <w:t>B</w:t>
      </w:r>
      <w:r>
        <w:rPr>
          <w:rFonts w:ascii="Times New Roman" w:hAnsi="Times New Roman"/>
          <w:b w:val="0"/>
          <w:i w:val="0"/>
          <w:sz w:val="24"/>
        </w:rPr>
        <w:t>:</w:t>
      </w:r>
    </w:p>
    <w:p>
      <w:pPr>
        <w:spacing w:line="240" w:lineRule="auto" w:after="80" w:before="80"/>
        <w:ind w:firstLine="0"/>
        <w:jc w:val="center"/>
      </w:pPr>
      <m:oMathPara>
        <m:oMathParaPr>
          <m:jc m:val="center"/>
        </m:oMathParaPr>
        <m:oMath>
          <m:sSub>
            <m:e>
              <m:r>
                <m:t>d</m:t>
              </m:r>
            </m:e>
            <m:sub>
              <m:r>
                <m:t>H</m:t>
              </m:r>
            </m:sub>
          </m:sSub>
          <m:r>
            <m:t>(A,B)=max(</m:t>
          </m:r>
          <m:limLow>
            <m:e>
              <m:r>
                <m:t>sup</m:t>
              </m:r>
            </m:e>
            <m:lim>
              <m:r>
                <m:t>a∈A</m:t>
              </m:r>
            </m:lim>
          </m:limLow>
          <m:limLow>
            <m:e>
              <m:r>
                <m:t>inf</m:t>
              </m:r>
            </m:e>
            <m:lim>
              <m:r>
                <m:t>b∈B</m:t>
              </m:r>
            </m:lim>
          </m:limLow>
          <m:r>
            <m:t>‖a-b‖,</m:t>
          </m:r>
          <m:limLow>
            <m:e>
              <m:r>
                <m:t>sup</m:t>
              </m:r>
            </m:e>
            <m:lim>
              <m:r>
                <m:t>b∈B</m:t>
              </m:r>
            </m:lim>
          </m:limLow>
          <m:limLow>
            <m:e>
              <m:r>
                <m:t>inf</m:t>
              </m:r>
            </m:e>
            <m:lim>
              <m:r>
                <m:t>a∈A</m:t>
              </m:r>
            </m:lim>
          </m:limLow>
          <m:r>
            <m:t>‖b-a‖)</m:t>
          </m:r>
        </m:oMath>
      </m:oMathPara>
    </w:p>
    <w:p>
      <w:pPr>
        <w:spacing w:line="360" w:lineRule="auto" w:after="0" w:before="0"/>
        <w:ind w:firstLine="567"/>
        <w:jc w:val="both"/>
      </w:pPr>
      <w:r>
        <w:rPr>
          <w:rFonts w:ascii="Times New Roman" w:hAnsi="Times New Roman"/>
          <w:b w:val="0"/>
          <w:i w:val="0"/>
          <w:sz w:val="24"/>
        </w:rPr>
        <w:t>Dalam analisis radiologi digital, persentil ke-95 dari jarak Hausdorff (HD95) digunakan untuk menghindari sensitivitas ekstrem terhadap titik pencilan (</w:t>
      </w:r>
      <w:r>
        <w:rPr>
          <w:rFonts w:ascii="Times New Roman" w:hAnsi="Times New Roman"/>
          <w:b w:val="0"/>
          <w:i/>
          <w:sz w:val="24"/>
        </w:rPr>
        <w:t>outliers</w:t>
      </w:r>
      <w:r>
        <w:rPr>
          <w:rFonts w:ascii="Times New Roman" w:hAnsi="Times New Roman"/>
          <w:b w:val="0"/>
          <w:i w:val="0"/>
          <w:sz w:val="24"/>
        </w:rPr>
        <w:t>). Nilai HD95 yang semakin kecil menunjukkan bahwa batas tepi kardiak terestorasi tidak menyimpang jauh dari batas anatomis aslinya.</w:t>
      </w:r>
    </w:p>
    <w:p>
      <w:pPr>
        <w:spacing w:line="360" w:lineRule="auto" w:after="40" w:before="0"/>
        <w:ind w:firstLine="0"/>
        <w:jc w:val="both"/>
      </w:pPr>
      <w:r>
        <w:rPr>
          <w:rFonts w:ascii="Times New Roman" w:hAnsi="Times New Roman"/>
          <w:b/>
          <w:i w:val="0"/>
          <w:sz w:val="24"/>
        </w:rPr>
        <w:t>3.</w:t>
        <w:tab/>
        <w:t>Jarak Permukaan Rata-Rata (</w:t>
      </w:r>
      <w:r>
        <w:rPr>
          <w:rFonts w:ascii="Times New Roman" w:hAnsi="Times New Roman"/>
          <w:b/>
          <w:i/>
          <w:sz w:val="24"/>
        </w:rPr>
        <w:t>Mean Surface Distance</w:t>
      </w:r>
      <w:r>
        <w:rPr>
          <w:rFonts w:ascii="Times New Roman" w:hAnsi="Times New Roman"/>
          <w:b/>
          <w:i w:val="0"/>
          <w:sz w:val="24"/>
        </w:rPr>
        <w:t xml:space="preserve"> atau MSD)</w:t>
      </w:r>
    </w:p>
    <w:p>
      <w:pPr>
        <w:spacing w:line="360" w:lineRule="auto" w:after="0" w:before="0"/>
        <w:ind w:firstLine="567"/>
        <w:jc w:val="both"/>
      </w:pPr>
      <w:r>
        <w:rPr>
          <w:rFonts w:ascii="Times New Roman" w:hAnsi="Times New Roman"/>
          <w:b w:val="0"/>
          <w:i w:val="0"/>
          <w:sz w:val="24"/>
        </w:rPr>
        <w:t xml:space="preserve">MSD mengukur rata-rata jarak euclid terdekat antara seluruh titik pada permukaan kontur </w:t>
      </w:r>
      <w:r>
        <w:rPr>
          <w:rFonts w:ascii="Times New Roman" w:hAnsi="Times New Roman"/>
          <w:b w:val="0"/>
          <w:i/>
          <w:sz w:val="24"/>
        </w:rPr>
        <w:t>A</w:t>
      </w:r>
      <w:r>
        <w:rPr>
          <w:rFonts w:ascii="Times New Roman" w:hAnsi="Times New Roman"/>
          <w:b w:val="0"/>
          <w:i w:val="0"/>
          <w:sz w:val="24"/>
        </w:rPr>
        <w:t xml:space="preserve"> dan kontur </w:t>
      </w:r>
      <w:r>
        <w:rPr>
          <w:rFonts w:ascii="Times New Roman" w:hAnsi="Times New Roman"/>
          <w:b w:val="0"/>
          <w:i/>
          <w:sz w:val="24"/>
        </w:rPr>
        <w:t>B</w:t>
      </w:r>
      <w:r>
        <w:rPr>
          <w:rFonts w:ascii="Times New Roman" w:hAnsi="Times New Roman"/>
          <w:b w:val="0"/>
          <w:i w:val="0"/>
          <w:sz w:val="24"/>
        </w:rPr>
        <w:t>:</w:t>
      </w:r>
    </w:p>
    <w:p>
      <w:pPr>
        <w:spacing w:line="240" w:lineRule="auto" w:after="80" w:before="80"/>
        <w:ind w:firstLine="0"/>
        <w:jc w:val="center"/>
      </w:pPr>
      <m:oMathPara>
        <m:oMathParaPr>
          <m:jc m:val="center"/>
        </m:oMathParaPr>
        <m:oMath>
          <m:r>
            <m:rPr>
              <m:nor/>
            </m:rPr>
            <m:t>MSD</m:t>
          </m:r>
          <m:r>
            <m:t>(A,B)=</m:t>
          </m:r>
          <m:f>
            <m:fPr>
              <m:type m:val="bar"/>
            </m:fPr>
            <m:num>
              <m:r>
                <m:t>1</m:t>
              </m:r>
            </m:num>
            <m:den>
              <m:d>
                <m:dPr>
                  <m:begChr m:val="|"/>
                  <m:sepChr m:val=""/>
                  <m:endChr m:val="|"/>
                </m:dPr>
                <m:e>
                  <m:r>
                    <m:t>A</m:t>
                  </m:r>
                  <m:r>
                    <m:t>|</m:t>
                  </m:r>
                  <m:r>
                    <m:t>+</m:t>
                  </m:r>
                  <m:r>
                    <m:t>|</m:t>
                  </m:r>
                  <m:r>
                    <m:t>B</m:t>
                  </m:r>
                </m:e>
              </m:d>
            </m:den>
          </m:f>
          <m:r>
            <m:t>(</m:t>
          </m:r>
          <m:nary>
            <m:naryPr>
              <m:chr m:val="∑"/>
              <m:limLoc m:val="undOvr"/>
              <m:grow m:val="1"/>
              <m:subHide m:val="off"/>
              <m:supHide m:val="on"/>
            </m:naryPr>
            <m:sub>
              <m:r>
                <m:t>a∈A</m:t>
              </m:r>
            </m:sub>
            <m:sup/>
            <m:e>
              <m:limLow>
                <m:e>
                  <m:r>
                    <m:t>min</m:t>
                  </m:r>
                </m:e>
                <m:lim>
                  <m:r>
                    <m:t>b∈B</m:t>
                  </m:r>
                </m:lim>
              </m:limLow>
            </m:e>
          </m:nary>
          <m:r>
            <m:t>‖a-b‖+</m:t>
          </m:r>
          <m:nary>
            <m:naryPr>
              <m:chr m:val="∑"/>
              <m:limLoc m:val="undOvr"/>
              <m:grow m:val="1"/>
              <m:subHide m:val="off"/>
              <m:supHide m:val="on"/>
            </m:naryPr>
            <m:sub>
              <m:r>
                <m:t>b∈B</m:t>
              </m:r>
            </m:sub>
            <m:sup/>
            <m:e>
              <m:limLow>
                <m:e>
                  <m:r>
                    <m:t>min</m:t>
                  </m:r>
                </m:e>
                <m:lim>
                  <m:r>
                    <m:t>a∈A</m:t>
                  </m:r>
                </m:lim>
              </m:limLow>
            </m:e>
          </m:nary>
          <m:r>
            <m:t>‖b-a‖)</m:t>
          </m:r>
        </m:oMath>
      </m:oMathPara>
    </w:p>
    <w:p>
      <w:pPr>
        <w:spacing w:line="360" w:lineRule="auto" w:after="0" w:before="0"/>
        <w:ind w:firstLine="567"/>
        <w:jc w:val="both"/>
      </w:pPr>
      <w:r>
        <w:rPr>
          <w:rFonts w:ascii="Times New Roman" w:hAnsi="Times New Roman"/>
          <w:b w:val="0"/>
          <w:i w:val="0"/>
          <w:sz w:val="24"/>
        </w:rPr>
        <w:t>Metrik MSD melengkapi HD dengan memberikan gambaran deviasi batas anatomi secara menyeluruh, di mana nilai MSD yang rendah mengindikasikan konsistensi kontur organ secara global.</w:t>
      </w:r>
    </w:p>
    <w:p>
      <w:pPr>
        <w:spacing w:line="360" w:lineRule="auto" w:after="80" w:before="160"/>
        <w:ind w:firstLine="0"/>
        <w:jc w:val="left"/>
      </w:pPr>
      <w:r>
        <w:rPr>
          <w:rFonts w:ascii="Times New Roman" w:hAnsi="Times New Roman"/>
          <w:b/>
          <w:i w:val="0"/>
          <w:sz w:val="24"/>
        </w:rPr>
        <w:t>2.6.2</w:t>
        <w:tab/>
        <w:t>Galat Pengukuran CTR (</w:t>
      </w:r>
      <w:r>
        <w:rPr>
          <w:rFonts w:ascii="Times New Roman" w:hAnsi="Times New Roman"/>
          <w:b/>
          <w:i/>
          <w:sz w:val="24"/>
        </w:rPr>
        <w:t>CTR Measurement Error</w:t>
      </w:r>
      <w:r>
        <w:rPr>
          <w:rFonts w:ascii="Times New Roman" w:hAnsi="Times New Roman"/>
          <w:b/>
          <w:i w:val="0"/>
          <w:sz w:val="24"/>
        </w:rPr>
        <w:t>)</w:t>
      </w:r>
    </w:p>
    <w:p>
      <w:pPr>
        <w:spacing w:line="360" w:lineRule="auto" w:after="0" w:before="0"/>
        <w:ind w:firstLine="567"/>
        <w:jc w:val="both"/>
      </w:pPr>
      <w:r>
        <w:rPr>
          <w:rFonts w:ascii="Times New Roman" w:hAnsi="Times New Roman"/>
          <w:b w:val="0"/>
          <w:i/>
          <w:sz w:val="24"/>
        </w:rPr>
        <w:t>Cardiothoracic Ratio</w:t>
      </w:r>
      <w:r>
        <w:rPr>
          <w:rFonts w:ascii="Times New Roman" w:hAnsi="Times New Roman"/>
          <w:b w:val="0"/>
          <w:i w:val="0"/>
          <w:sz w:val="24"/>
        </w:rPr>
        <w:t xml:space="preserve"> (CTR) merupakan rasio biometrik transversal jantung terhadap rongga dada yang menjadi keluaran klinis utama dalam penelitian ini. Pengaruh degradasi derau dan pemulihan metode restorasi terhadap presisi diagnostik dievaluasi melalui besarnya penyimpangan nilai CTR terestorasi (CTR</w:t>
      </w:r>
      <w:r>
        <w:rPr>
          <w:rFonts w:ascii="Times New Roman" w:hAnsi="Times New Roman"/>
          <w:b w:val="0"/>
          <w:i/>
          <w:sz w:val="24"/>
          <w:vertAlign w:val="subscript"/>
        </w:rPr>
        <w:t>restored</w:t>
      </w:r>
      <w:r>
        <w:rPr>
          <w:rFonts w:ascii="Times New Roman" w:hAnsi="Times New Roman"/>
          <w:b w:val="0"/>
          <w:i w:val="0"/>
          <w:sz w:val="24"/>
        </w:rPr>
        <w:t>) terhadap nilai CTR acuan baku (CTR</w:t>
      </w:r>
      <w:r>
        <w:rPr>
          <w:rFonts w:ascii="Times New Roman" w:hAnsi="Times New Roman"/>
          <w:b w:val="0"/>
          <w:i/>
          <w:sz w:val="24"/>
          <w:vertAlign w:val="subscript"/>
        </w:rPr>
        <w:t>ref</w:t>
      </w:r>
      <w:r>
        <w:rPr>
          <w:rFonts w:ascii="Times New Roman" w:hAnsi="Times New Roman"/>
          <w:b w:val="0"/>
          <w:i w:val="0"/>
          <w:sz w:val="24"/>
        </w:rPr>
        <w:t>) menggunakan metrik galat statistik:</w:t>
      </w:r>
    </w:p>
    <w:p>
      <w:pPr>
        <w:spacing w:line="360" w:lineRule="auto" w:after="40" w:before="0"/>
        <w:ind w:firstLine="0"/>
        <w:jc w:val="both"/>
      </w:pPr>
      <w:r>
        <w:rPr>
          <w:rFonts w:ascii="Times New Roman" w:hAnsi="Times New Roman"/>
          <w:b/>
          <w:i w:val="0"/>
          <w:sz w:val="24"/>
        </w:rPr>
        <w:t>1.</w:t>
        <w:tab/>
        <w:t>Galat Rata-Rata (</w:t>
      </w:r>
      <w:r>
        <w:rPr>
          <w:rFonts w:ascii="Times New Roman" w:hAnsi="Times New Roman"/>
          <w:b/>
          <w:i/>
          <w:sz w:val="24"/>
        </w:rPr>
        <w:t>Mean Error</w:t>
      </w:r>
      <w:r>
        <w:rPr>
          <w:rFonts w:ascii="Times New Roman" w:hAnsi="Times New Roman"/>
          <w:b/>
          <w:i w:val="0"/>
          <w:sz w:val="24"/>
        </w:rPr>
        <w:t xml:space="preserve"> atau Bias)</w:t>
      </w:r>
    </w:p>
    <w:p>
      <w:pPr>
        <w:spacing w:line="360" w:lineRule="auto" w:after="0" w:before="0"/>
        <w:ind w:firstLine="567"/>
        <w:jc w:val="both"/>
      </w:pPr>
      <w:r>
        <w:rPr>
          <w:rFonts w:ascii="Times New Roman" w:hAnsi="Times New Roman"/>
          <w:b w:val="0"/>
          <w:i w:val="0"/>
          <w:sz w:val="24"/>
        </w:rPr>
        <w:t>Bias mengukur kecenderungan arah penyimpangan pengukuran secara sistematis:</w:t>
      </w:r>
    </w:p>
    <w:p>
      <w:pPr>
        <w:spacing w:line="240" w:lineRule="auto" w:after="80" w:before="80"/>
        <w:ind w:firstLine="0"/>
        <w:jc w:val="center"/>
      </w:pPr>
      <m:oMathPara>
        <m:oMathParaPr>
          <m:jc m:val="center"/>
        </m:oMathParaPr>
        <m:oMath>
          <m:r>
            <m:rPr>
              <m:nor/>
            </m:rPr>
            <m:t>Bias</m:t>
          </m:r>
          <m:r>
            <m:t>=</m:t>
          </m:r>
          <m:f>
            <m:fPr>
              <m:type m:val="bar"/>
            </m:fPr>
            <m:num>
              <m:r>
                <m:t>1</m:t>
              </m:r>
            </m:num>
            <m:den>
              <m:r>
                <m:t>N</m:t>
              </m:r>
            </m:den>
          </m:f>
          <m:nary>
            <m:naryPr>
              <m:chr m:val="∑"/>
              <m:limLoc m:val="undOvr"/>
              <m:grow m:val="1"/>
              <m:subHide m:val="off"/>
              <m:supHide m:val="off"/>
            </m:naryPr>
            <m:sub>
              <m:r>
                <m:t>i=1</m:t>
              </m:r>
            </m:sub>
            <m:sup>
              <m:r>
                <m:t>N</m:t>
              </m:r>
            </m:sup>
            <m:e>
              <m:r>
                <m:t>(</m:t>
              </m:r>
            </m:e>
          </m:nary>
          <m:sSub>
            <m:e>
              <m:r>
                <m:rPr>
                  <m:nor/>
                </m:rPr>
                <m:t>CTR</m:t>
              </m:r>
            </m:e>
            <m:sub>
              <m:r>
                <m:rPr>
                  <m:nor/>
                </m:rPr>
                <m:t>restored</m:t>
              </m:r>
              <m:r>
                <m:t>,i</m:t>
              </m:r>
            </m:sub>
          </m:sSub>
          <m:r>
            <m:t>-</m:t>
          </m:r>
          <m:sSub>
            <m:e>
              <m:r>
                <m:rPr>
                  <m:nor/>
                </m:rPr>
                <m:t>CTR</m:t>
              </m:r>
            </m:e>
            <m:sub>
              <m:r>
                <m:rPr>
                  <m:nor/>
                </m:rPr>
                <m:t>ref</m:t>
              </m:r>
              <m:r>
                <m:t>,i</m:t>
              </m:r>
            </m:sub>
          </m:sSub>
          <m:r>
            <m:t>)</m:t>
          </m:r>
        </m:oMath>
      </m:oMathPara>
    </w:p>
    <w:p>
      <w:pPr>
        <w:spacing w:line="360" w:lineRule="auto" w:after="0" w:before="0"/>
        <w:ind w:firstLine="567"/>
        <w:jc w:val="both"/>
      </w:pPr>
      <w:r>
        <w:rPr>
          <w:rFonts w:ascii="Times New Roman" w:hAnsi="Times New Roman"/>
          <w:b w:val="0"/>
          <w:i w:val="0"/>
          <w:sz w:val="24"/>
        </w:rPr>
        <w:t>Nilai bias positif menunjukkan kecenderungan estimasi berlebih (</w:t>
      </w:r>
      <w:r>
        <w:rPr>
          <w:rFonts w:ascii="Times New Roman" w:hAnsi="Times New Roman"/>
          <w:b w:val="0"/>
          <w:i/>
          <w:sz w:val="24"/>
        </w:rPr>
        <w:t>overestimation</w:t>
      </w:r>
      <w:r>
        <w:rPr>
          <w:rFonts w:ascii="Times New Roman" w:hAnsi="Times New Roman"/>
          <w:b w:val="0"/>
          <w:i w:val="0"/>
          <w:sz w:val="24"/>
        </w:rPr>
        <w:t>), sedangkan nilai bias negatif mengindikasikan kecenderungan penyusutan dimensi jantung (</w:t>
      </w:r>
      <w:r>
        <w:rPr>
          <w:rFonts w:ascii="Times New Roman" w:hAnsi="Times New Roman"/>
          <w:b w:val="0"/>
          <w:i/>
          <w:sz w:val="24"/>
        </w:rPr>
        <w:t>underestimation</w:t>
      </w:r>
      <w:r>
        <w:rPr>
          <w:rFonts w:ascii="Times New Roman" w:hAnsi="Times New Roman"/>
          <w:b w:val="0"/>
          <w:i w:val="0"/>
          <w:sz w:val="24"/>
        </w:rPr>
        <w:t>) akibat pengikisan batas tepi oleh penapis.</w:t>
      </w:r>
    </w:p>
    <w:p>
      <w:pPr>
        <w:spacing w:line="360" w:lineRule="auto" w:after="40" w:before="0"/>
        <w:ind w:firstLine="0"/>
        <w:jc w:val="both"/>
      </w:pPr>
      <w:r>
        <w:rPr>
          <w:rFonts w:ascii="Times New Roman" w:hAnsi="Times New Roman"/>
          <w:b/>
          <w:i w:val="0"/>
          <w:sz w:val="24"/>
        </w:rPr>
        <w:t>2.</w:t>
        <w:tab/>
        <w:t>Galat Absolut Rata-Rata (</w:t>
      </w:r>
      <w:r>
        <w:rPr>
          <w:rFonts w:ascii="Times New Roman" w:hAnsi="Times New Roman"/>
          <w:b/>
          <w:i/>
          <w:sz w:val="24"/>
        </w:rPr>
        <w:t>Mean Absolute Error</w:t>
      </w:r>
      <w:r>
        <w:rPr>
          <w:rFonts w:ascii="Times New Roman" w:hAnsi="Times New Roman"/>
          <w:b/>
          <w:i w:val="0"/>
          <w:sz w:val="24"/>
        </w:rPr>
        <w:t xml:space="preserve"> atau MAE)</w:t>
      </w:r>
    </w:p>
    <w:p>
      <w:pPr>
        <w:spacing w:line="360" w:lineRule="auto" w:after="0" w:before="0"/>
        <w:ind w:firstLine="567"/>
        <w:jc w:val="both"/>
      </w:pPr>
      <w:r>
        <w:rPr>
          <w:rFonts w:ascii="Times New Roman" w:hAnsi="Times New Roman"/>
          <w:b w:val="0"/>
          <w:i w:val="0"/>
          <w:sz w:val="24"/>
        </w:rPr>
        <w:t>MAE mengukur magnitudo deviasi kesalahan rata-rata tanpa memedulikan arah positif atau negatif:</w:t>
      </w:r>
    </w:p>
    <w:p>
      <w:pPr>
        <w:spacing w:line="240" w:lineRule="auto" w:after="80" w:before="80"/>
        <w:ind w:firstLine="0"/>
        <w:jc w:val="center"/>
      </w:pPr>
      <m:oMathPara>
        <m:oMathParaPr>
          <m:jc m:val="center"/>
        </m:oMathParaPr>
        <m:oMath>
          <m:r>
            <m:rPr>
              <m:nor/>
            </m:rPr>
            <m:t>MAE</m:t>
          </m:r>
          <m:r>
            <m:t>=</m:t>
          </m:r>
          <m:f>
            <m:fPr>
              <m:type m:val="bar"/>
            </m:fPr>
            <m:num>
              <m:r>
                <m:t>1</m:t>
              </m:r>
            </m:num>
            <m:den>
              <m:r>
                <m:t>N</m:t>
              </m:r>
            </m:den>
          </m:f>
          <m:nary>
            <m:naryPr>
              <m:chr m:val="∑"/>
              <m:limLoc m:val="undOvr"/>
              <m:grow m:val="1"/>
              <m:subHide m:val="off"/>
              <m:supHide m:val="off"/>
            </m:naryPr>
            <m:sub>
              <m:r>
                <m:t>i=1</m:t>
              </m:r>
            </m:sub>
            <m:sup>
              <m:r>
                <m:t>N</m:t>
              </m:r>
            </m:sup>
            <m:e>
              <m:r>
                <m:t>|</m:t>
              </m:r>
            </m:e>
          </m:nary>
          <m:sSub>
            <m:e>
              <m:r>
                <m:rPr>
                  <m:nor/>
                </m:rPr>
                <m:t>CTR</m:t>
              </m:r>
            </m:e>
            <m:sub>
              <m:r>
                <m:rPr>
                  <m:nor/>
                </m:rPr>
                <m:t>restored</m:t>
              </m:r>
              <m:r>
                <m:t>,i</m:t>
              </m:r>
            </m:sub>
          </m:sSub>
          <m:r>
            <m:t>-</m:t>
          </m:r>
          <m:sSub>
            <m:e>
              <m:r>
                <m:rPr>
                  <m:nor/>
                </m:rPr>
                <m:t>CTR</m:t>
              </m:r>
            </m:e>
            <m:sub>
              <m:r>
                <m:rPr>
                  <m:nor/>
                </m:rPr>
                <m:t>ref</m:t>
              </m:r>
              <m:r>
                <m:t>,i</m:t>
              </m:r>
            </m:sub>
          </m:sSub>
          <m:r>
            <m:t>|</m:t>
          </m:r>
        </m:oMath>
      </m:oMathPara>
    </w:p>
    <w:p>
      <w:pPr>
        <w:spacing w:line="360" w:lineRule="auto" w:after="0" w:before="0"/>
        <w:ind w:firstLine="567"/>
        <w:jc w:val="both"/>
      </w:pPr>
      <w:r>
        <w:rPr>
          <w:rFonts w:ascii="Times New Roman" w:hAnsi="Times New Roman"/>
          <w:b w:val="0"/>
          <w:i w:val="0"/>
          <w:sz w:val="24"/>
        </w:rPr>
        <w:t>Nilai MAE menjadi indikator utama dalam menguji keandalan restorasi, di mana nilai MAE yang mendekati nol merepresentasikan kesalahan klinis yang minimal.</w:t>
      </w:r>
    </w:p>
    <w:p>
      <w:pPr>
        <w:spacing w:line="360" w:lineRule="auto" w:after="40" w:before="0"/>
        <w:ind w:firstLine="0"/>
        <w:jc w:val="both"/>
      </w:pPr>
      <w:r>
        <w:rPr>
          <w:rFonts w:ascii="Times New Roman" w:hAnsi="Times New Roman"/>
          <w:b/>
          <w:i w:val="0"/>
          <w:sz w:val="24"/>
        </w:rPr>
        <w:t>3.</w:t>
        <w:tab/>
        <w:t>Korelasi Linear Pearson (</w:t>
      </w:r>
      <w:r>
        <w:rPr>
          <w:rFonts w:ascii="Times New Roman" w:hAnsi="Times New Roman"/>
          <w:b/>
          <w:i/>
          <w:sz w:val="24"/>
        </w:rPr>
        <w:t>r</w:t>
      </w:r>
      <w:r>
        <w:rPr>
          <w:rFonts w:ascii="Times New Roman" w:hAnsi="Times New Roman"/>
          <w:b/>
          <w:i w:val="0"/>
          <w:sz w:val="24"/>
        </w:rPr>
        <w:t>)</w:t>
      </w:r>
    </w:p>
    <w:p>
      <w:pPr>
        <w:spacing w:line="360" w:lineRule="auto" w:after="0" w:before="0"/>
        <w:ind w:firstLine="567"/>
        <w:jc w:val="both"/>
      </w:pPr>
      <w:r>
        <w:rPr>
          <w:rFonts w:ascii="Times New Roman" w:hAnsi="Times New Roman"/>
          <w:b w:val="0"/>
          <w:i w:val="0"/>
          <w:sz w:val="24"/>
        </w:rPr>
        <w:t>Korelasi Pearson digunakan sebagai analisis pendukung guna mengukur kekuatan hubungan linear antara nilai CTR hasil restorasi dan acuan standar:</w:t>
      </w:r>
    </w:p>
    <w:p>
      <w:pPr>
        <w:spacing w:line="240" w:lineRule="auto" w:after="80" w:before="80"/>
        <w:ind w:firstLine="0"/>
        <w:jc w:val="center"/>
      </w:pPr>
      <m:oMathPara>
        <m:oMathParaPr>
          <m:jc m:val="center"/>
        </m:oMathParaPr>
        <m:oMath>
          <m:r>
            <m:t>r=</m:t>
          </m:r>
          <m:f>
            <m:fPr>
              <m:type m:val="bar"/>
            </m:fPr>
            <m:num>
              <m:nary>
                <m:naryPr>
                  <m:chr m:val="∑"/>
                  <m:limLoc m:val="undOvr"/>
                  <m:grow m:val="1"/>
                  <m:subHide m:val="off"/>
                  <m:supHide m:val="off"/>
                </m:naryPr>
                <m:sub>
                  <m:r>
                    <m:t>i=1</m:t>
                  </m:r>
                </m:sub>
                <m:sup>
                  <m:r>
                    <m:t>N</m:t>
                  </m:r>
                </m:sup>
                <m:e>
                  <m:r>
                    <m:t>(</m:t>
                  </m:r>
                </m:e>
              </m:nary>
              <m:sSub>
                <m:e>
                  <m:r>
                    <m:rPr>
                      <m:nor/>
                    </m:rPr>
                    <m:t>CTR</m:t>
                  </m:r>
                </m:e>
                <m:sub>
                  <m:r>
                    <m:rPr>
                      <m:nor/>
                    </m:rPr>
                    <m:t>restored</m:t>
                  </m:r>
                  <m:r>
                    <m:t>,i</m:t>
                  </m:r>
                </m:sub>
              </m:sSub>
              <m:r>
                <m:t>-</m:t>
              </m:r>
              <m:sSub>
                <m:e>
                  <m:bar>
                    <m:barPr>
                      <m:pos m:val="top"/>
                    </m:barPr>
                    <m:e>
                      <m:r>
                        <m:rPr>
                          <m:nor/>
                        </m:rPr>
                        <m:t>CTR</m:t>
                      </m:r>
                    </m:e>
                  </m:bar>
                </m:e>
                <m:sub>
                  <m:r>
                    <m:rPr>
                      <m:nor/>
                    </m:rPr>
                    <m:t>restored</m:t>
                  </m:r>
                </m:sub>
              </m:sSub>
              <m:r>
                <m:t>)(</m:t>
              </m:r>
              <m:sSub>
                <m:e>
                  <m:r>
                    <m:rPr>
                      <m:nor/>
                    </m:rPr>
                    <m:t>CTR</m:t>
                  </m:r>
                </m:e>
                <m:sub>
                  <m:r>
                    <m:rPr>
                      <m:nor/>
                    </m:rPr>
                    <m:t>ref</m:t>
                  </m:r>
                  <m:r>
                    <m:t>,i</m:t>
                  </m:r>
                </m:sub>
              </m:sSub>
              <m:r>
                <m:t>-</m:t>
              </m:r>
              <m:sSub>
                <m:e>
                  <m:bar>
                    <m:barPr>
                      <m:pos m:val="top"/>
                    </m:barPr>
                    <m:e>
                      <m:r>
                        <m:rPr>
                          <m:nor/>
                        </m:rPr>
                        <m:t>CTR</m:t>
                      </m:r>
                    </m:e>
                  </m:bar>
                </m:e>
                <m:sub>
                  <m:r>
                    <m:rPr>
                      <m:nor/>
                    </m:rPr>
                    <m:t>ref</m:t>
                  </m:r>
                </m:sub>
              </m:sSub>
              <m:r>
                <m:t>)</m:t>
              </m:r>
            </m:num>
            <m:den>
              <m:rad>
                <m:radPr>
                  <m:degHide m:val="on"/>
                </m:radPr>
                <m:deg/>
                <m:e>
                  <m:nary>
                    <m:naryPr>
                      <m:chr m:val="∑"/>
                      <m:limLoc m:val="undOvr"/>
                      <m:grow m:val="1"/>
                      <m:subHide m:val="off"/>
                      <m:supHide m:val="off"/>
                    </m:naryPr>
                    <m:sub>
                      <m:r>
                        <m:t>i=1</m:t>
                      </m:r>
                    </m:sub>
                    <m:sup>
                      <m:r>
                        <m:t>N</m:t>
                      </m:r>
                    </m:sup>
                    <m:e>
                      <m:sSup>
                        <m:e>
                          <m:d>
                            <m:dPr>
                              <m:sepChr m:val="-"/>
                            </m:dPr>
                            <m:e>
                              <m:sSub>
                                <m:e>
                                  <m:r>
                                    <m:rPr>
                                      <m:nor/>
                                    </m:rPr>
                                    <m:t>CTR</m:t>
                                  </m:r>
                                </m:e>
                                <m:sub>
                                  <m:r>
                                    <m:rPr>
                                      <m:nor/>
                                    </m:rPr>
                                    <m:t>restored</m:t>
                                  </m:r>
                                  <m:r>
                                    <m:t>,i</m:t>
                                  </m:r>
                                </m:sub>
                              </m:sSub>
                            </m:e>
                            <m:e>
                              <m:sSub>
                                <m:e>
                                  <m:bar>
                                    <m:barPr>
                                      <m:pos m:val="top"/>
                                    </m:barPr>
                                    <m:e>
                                      <m:r>
                                        <m:rPr>
                                          <m:nor/>
                                        </m:rPr>
                                        <m:t>CTR</m:t>
                                      </m:r>
                                    </m:e>
                                  </m:bar>
                                </m:e>
                                <m:sub>
                                  <m:r>
                                    <m:rPr>
                                      <m:nor/>
                                    </m:rPr>
                                    <m:t>restored</m:t>
                                  </m:r>
                                </m:sub>
                              </m:sSub>
                            </m:e>
                          </m:d>
                        </m:e>
                        <m:sup>
                          <m:r>
                            <m:t>2</m:t>
                          </m:r>
                        </m:sup>
                      </m:sSup>
                    </m:e>
                  </m:nary>
                  <m:nary>
                    <m:naryPr>
                      <m:chr m:val="∑"/>
                      <m:limLoc m:val="undOvr"/>
                      <m:grow m:val="1"/>
                      <m:subHide m:val="off"/>
                      <m:supHide m:val="off"/>
                    </m:naryPr>
                    <m:sub>
                      <m:r>
                        <m:t>i=1</m:t>
                      </m:r>
                    </m:sub>
                    <m:sup>
                      <m:r>
                        <m:t>N</m:t>
                      </m:r>
                    </m:sup>
                    <m:e>
                      <m:sSup>
                        <m:e>
                          <m:d>
                            <m:dPr>
                              <m:sepChr m:val="-"/>
                            </m:dPr>
                            <m:e>
                              <m:sSub>
                                <m:e>
                                  <m:r>
                                    <m:rPr>
                                      <m:nor/>
                                    </m:rPr>
                                    <m:t>CTR</m:t>
                                  </m:r>
                                </m:e>
                                <m:sub>
                                  <m:r>
                                    <m:rPr>
                                      <m:nor/>
                                    </m:rPr>
                                    <m:t>ref</m:t>
                                  </m:r>
                                  <m:r>
                                    <m:t>,i</m:t>
                                  </m:r>
                                </m:sub>
                              </m:sSub>
                            </m:e>
                            <m:e>
                              <m:sSub>
                                <m:e>
                                  <m:bar>
                                    <m:barPr>
                                      <m:pos m:val="top"/>
                                    </m:barPr>
                                    <m:e>
                                      <m:r>
                                        <m:rPr>
                                          <m:nor/>
                                        </m:rPr>
                                        <m:t>CTR</m:t>
                                      </m:r>
                                    </m:e>
                                  </m:bar>
                                </m:e>
                                <m:sub>
                                  <m:r>
                                    <m:rPr>
                                      <m:nor/>
                                    </m:rPr>
                                    <m:t>ref</m:t>
                                  </m:r>
                                </m:sub>
                              </m:sSub>
                            </m:e>
                          </m:d>
                        </m:e>
                        <m:sup>
                          <m:r>
                            <m:t>2</m:t>
                          </m:r>
                        </m:sup>
                      </m:sSup>
                    </m:e>
                  </m:nary>
                </m:e>
              </m:rad>
            </m:den>
          </m:f>
        </m:oMath>
      </m:oMathPara>
    </w:p>
    <w:p>
      <w:pPr>
        <w:spacing w:line="360" w:lineRule="auto" w:after="0" w:before="0"/>
        <w:ind w:firstLine="567"/>
        <w:jc w:val="both"/>
      </w:pPr>
      <w:r>
        <w:rPr>
          <w:rFonts w:ascii="Times New Roman" w:hAnsi="Times New Roman"/>
          <w:b w:val="0"/>
          <w:i w:val="0"/>
          <w:sz w:val="24"/>
        </w:rPr>
        <w:t xml:space="preserve">Nilai </w:t>
      </w:r>
      <w:r>
        <w:rPr>
          <w:rFonts w:ascii="Times New Roman" w:hAnsi="Times New Roman"/>
          <w:b w:val="0"/>
          <w:i/>
          <w:sz w:val="24"/>
        </w:rPr>
        <w:t>r</w:t>
      </w:r>
      <w:r>
        <w:rPr>
          <w:rFonts w:ascii="Times New Roman" w:hAnsi="Times New Roman"/>
          <w:b w:val="0"/>
          <w:i w:val="0"/>
          <w:sz w:val="24"/>
        </w:rPr>
        <w:t xml:space="preserve"> mendekati 1 menunjukkan bahwa metode restorasi mempertahankan urutan dan proporsi nilai biometri pasien secara konsisten.</w:t>
      </w:r>
    </w:p>
    <w:p>
      <w:pPr>
        <w:spacing w:line="360" w:lineRule="auto" w:after="80" w:before="160"/>
        <w:ind w:firstLine="0"/>
        <w:jc w:val="left"/>
      </w:pPr>
      <w:r>
        <w:rPr>
          <w:rFonts w:ascii="Times New Roman" w:hAnsi="Times New Roman"/>
          <w:b/>
          <w:i w:val="0"/>
          <w:sz w:val="24"/>
        </w:rPr>
        <w:t>2.6.3</w:t>
        <w:tab/>
        <w:t>Analisis Kesepakatan Bland–Altman (</w:t>
      </w:r>
      <w:r>
        <w:rPr>
          <w:rFonts w:ascii="Times New Roman" w:hAnsi="Times New Roman"/>
          <w:b/>
          <w:i/>
          <w:sz w:val="24"/>
        </w:rPr>
        <w:t>Bland–Altman Agreement Analysis</w:t>
      </w:r>
      <w:r>
        <w:rPr>
          <w:rFonts w:ascii="Times New Roman" w:hAnsi="Times New Roman"/>
          <w:b/>
          <w:i w:val="0"/>
          <w:sz w:val="24"/>
        </w:rPr>
        <w:t>)</w:t>
      </w:r>
    </w:p>
    <w:p>
      <w:pPr>
        <w:spacing w:line="360" w:lineRule="auto" w:after="0" w:before="0"/>
        <w:ind w:firstLine="567"/>
        <w:jc w:val="both"/>
      </w:pPr>
      <w:r>
        <w:rPr>
          <w:rFonts w:ascii="Times New Roman" w:hAnsi="Times New Roman"/>
          <w:b w:val="0"/>
          <w:i w:val="0"/>
          <w:sz w:val="24"/>
        </w:rPr>
        <w:t>Korelasi linear yang tinggi tidak serta merta membuktikan adanya kesepakatan (</w:t>
      </w:r>
      <w:r>
        <w:rPr>
          <w:rFonts w:ascii="Times New Roman" w:hAnsi="Times New Roman"/>
          <w:b w:val="0"/>
          <w:i/>
          <w:sz w:val="24"/>
        </w:rPr>
        <w:t>agreement</w:t>
      </w:r>
      <w:r>
        <w:rPr>
          <w:rFonts w:ascii="Times New Roman" w:hAnsi="Times New Roman"/>
          <w:b w:val="0"/>
          <w:i w:val="0"/>
          <w:sz w:val="24"/>
        </w:rPr>
        <w:t>) klinis yang setara antara dua metode pengukuran (Bland &amp; Altman, 1986). Dua metode dapat memiliki korelasi linear mendekati 1 meskipun terdapat perbedaan sistematis yang konstan. Oleh karena itu, analisis grafis dan kuantitatif Bland–Altman diterapkan untuk mengevaluasi derajat kesesuaian klinis antara pengukuran CTR pasca-restorasi dan acuan standar.</w:t>
      </w:r>
    </w:p>
    <w:p>
      <w:pPr>
        <w:spacing w:line="360" w:lineRule="auto" w:after="0" w:before="0"/>
        <w:ind w:firstLine="567"/>
        <w:jc w:val="both"/>
      </w:pPr>
      <w:r>
        <w:rPr>
          <w:rFonts w:ascii="Times New Roman" w:hAnsi="Times New Roman"/>
          <w:b w:val="0"/>
          <w:i w:val="0"/>
          <w:sz w:val="24"/>
        </w:rPr>
        <w:t>Plot Bland–Altman memetakan selisih perbedaan pengukuran (</w:t>
      </w:r>
      <w:r>
        <w:rPr>
          <w:rFonts w:ascii="Times New Roman" w:hAnsi="Times New Roman"/>
          <w:b w:val="0"/>
          <w:i/>
          <w:sz w:val="24"/>
        </w:rPr>
        <w:t>d</w:t>
      </w:r>
      <w:r>
        <w:rPr>
          <w:rFonts w:ascii="Times New Roman" w:hAnsi="Times New Roman"/>
          <w:b w:val="0"/>
          <w:i/>
          <w:sz w:val="24"/>
          <w:vertAlign w:val="subscript"/>
        </w:rPr>
        <w:t>i</w:t>
      </w:r>
      <w:r>
        <w:rPr>
          <w:rFonts w:ascii="Times New Roman" w:hAnsi="Times New Roman"/>
          <w:b w:val="0"/>
          <w:i w:val="0"/>
          <w:sz w:val="24"/>
        </w:rPr>
        <w:t xml:space="preserve"> = CTR</w:t>
      </w:r>
      <w:r>
        <w:rPr>
          <w:rFonts w:ascii="Times New Roman" w:hAnsi="Times New Roman"/>
          <w:b w:val="0"/>
          <w:i/>
          <w:sz w:val="24"/>
          <w:vertAlign w:val="subscript"/>
        </w:rPr>
        <w:t>restored</w:t>
      </w:r>
      <w:r>
        <w:rPr>
          <w:rFonts w:ascii="Times New Roman" w:hAnsi="Times New Roman"/>
          <w:b w:val="0"/>
          <w:i/>
          <w:sz w:val="24"/>
          <w:vertAlign w:val="subscript"/>
        </w:rPr>
        <w:t>,i</w:t>
      </w:r>
      <w:r>
        <w:rPr>
          <w:rFonts w:ascii="Times New Roman" w:hAnsi="Times New Roman"/>
          <w:b w:val="0"/>
          <w:i w:val="0"/>
          <w:sz w:val="24"/>
        </w:rPr>
        <w:t xml:space="preserve"> − CTR</w:t>
      </w:r>
      <w:r>
        <w:rPr>
          <w:rFonts w:ascii="Times New Roman" w:hAnsi="Times New Roman"/>
          <w:b w:val="0"/>
          <w:i/>
          <w:sz w:val="24"/>
          <w:vertAlign w:val="subscript"/>
        </w:rPr>
        <w:t>ref</w:t>
      </w:r>
      <w:r>
        <w:rPr>
          <w:rFonts w:ascii="Times New Roman" w:hAnsi="Times New Roman"/>
          <w:b w:val="0"/>
          <w:i/>
          <w:sz w:val="24"/>
          <w:vertAlign w:val="subscript"/>
        </w:rPr>
        <w:t>,i</w:t>
      </w:r>
      <w:r>
        <w:rPr>
          <w:rFonts w:ascii="Times New Roman" w:hAnsi="Times New Roman"/>
          <w:b w:val="0"/>
          <w:i w:val="0"/>
          <w:sz w:val="24"/>
        </w:rPr>
        <w:t>) pada sumbu vertikal terhadap nilai rata-rata dari kedua pengukuran pada sumbu horizontal. Kesepakatan klinis dinilai berdasarkan garis bias rata-rata (</w:t>
      </w:r>
      <w:r>
        <w:rPr>
          <w:rFonts w:ascii="Times New Roman" w:hAnsi="Times New Roman"/>
          <w:b w:val="0"/>
          <w:i/>
          <w:sz w:val="24"/>
        </w:rPr>
        <w:t>d̄</w:t>
      </w:r>
      <w:r>
        <w:rPr>
          <w:rFonts w:ascii="Times New Roman" w:hAnsi="Times New Roman"/>
          <w:b w:val="0"/>
          <w:i w:val="0"/>
          <w:sz w:val="24"/>
        </w:rPr>
        <w:t>) dan rentang batas kesepakatan (</w:t>
      </w:r>
      <w:r>
        <w:rPr>
          <w:rFonts w:ascii="Times New Roman" w:hAnsi="Times New Roman"/>
          <w:b w:val="0"/>
          <w:i/>
          <w:sz w:val="24"/>
        </w:rPr>
        <w:t>Limits of Agreement</w:t>
      </w:r>
      <w:r>
        <w:rPr>
          <w:rFonts w:ascii="Times New Roman" w:hAnsi="Times New Roman"/>
          <w:b w:val="0"/>
          <w:i w:val="0"/>
          <w:sz w:val="24"/>
        </w:rPr>
        <w:t xml:space="preserve"> atau LoA):</w:t>
      </w:r>
    </w:p>
    <w:p>
      <w:pPr>
        <w:spacing w:line="240" w:lineRule="auto" w:after="80" w:before="80"/>
        <w:ind w:firstLine="0"/>
        <w:jc w:val="center"/>
      </w:pPr>
      <m:oMathPara>
        <m:oMathParaPr>
          <m:jc m:val="center"/>
        </m:oMathParaPr>
        <m:oMath>
          <m:r>
            <m:rPr>
              <m:nor/>
            </m:rPr>
            <m:t>LoA</m:t>
          </m:r>
          <m:r>
            <m:t>=</m:t>
          </m:r>
          <m:bar>
            <m:barPr>
              <m:pos m:val="top"/>
            </m:barPr>
            <m:e>
              <m:r>
                <m:t>d</m:t>
              </m:r>
            </m:e>
          </m:bar>
          <m:r>
            <m:t>±</m:t>
          </m:r>
          <m:r>
            <m:rPr>
              <m:sty m:val="p"/>
            </m:rPr>
            <m:t>1,96</m:t>
          </m:r>
          <m:r>
            <m:t>·</m:t>
          </m:r>
          <m:r>
            <m:rPr>
              <m:nor/>
            </m:rPr>
            <m:t>SD</m:t>
          </m:r>
        </m:oMath>
      </m:oMathPara>
    </w:p>
    <w:p>
      <w:pPr>
        <w:spacing w:line="360" w:lineRule="auto" w:after="0" w:before="0"/>
        <w:ind w:firstLine="567"/>
        <w:jc w:val="both"/>
      </w:pPr>
      <w:r>
        <w:rPr>
          <w:rFonts w:ascii="Times New Roman" w:hAnsi="Times New Roman"/>
          <w:b w:val="0"/>
          <w:i w:val="0"/>
          <w:sz w:val="24"/>
        </w:rPr>
        <w:t>di mana SD adalah simpangan baku dari selisih perbedaan pengukuran. Secara statistik, sebanyak 95% selisih pengukuran diharapkan berada di dalam rentang LoA. Metode restorasi dinyatakan memiliki kesepakatan klinis yang dapat diterima (</w:t>
      </w:r>
      <w:r>
        <w:rPr>
          <w:rFonts w:ascii="Times New Roman" w:hAnsi="Times New Roman"/>
          <w:b w:val="0"/>
          <w:i/>
          <w:sz w:val="24"/>
        </w:rPr>
        <w:t>clinically acceptable</w:t>
      </w:r>
      <w:r>
        <w:rPr>
          <w:rFonts w:ascii="Times New Roman" w:hAnsi="Times New Roman"/>
          <w:b w:val="0"/>
          <w:i w:val="0"/>
          <w:sz w:val="24"/>
        </w:rPr>
        <w:t>) apabila nilai bias rata-rata mendekati nol dan seluruh rentang LoA berada di dalam batas toleransi variabilitas diagnostik kardiomegali yang diizinkan secara medis (misalnya rentang galat CTR tidak melebihi ± 0,02 atau 2%).</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