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qila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655585576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unand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01/12/2024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19/01/2025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Baik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qila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655585576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Ratus 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