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0E2F5" w14:textId="77777777" w:rsidR="00B37EB3" w:rsidRPr="0096762E" w:rsidRDefault="0021549B" w:rsidP="00103CB3">
      <w:pPr>
        <w:pStyle w:val="02-Saintis-Paper-title"/>
        <w:snapToGrid w:val="0"/>
        <w:spacing w:line="240" w:lineRule="auto"/>
        <w:jc w:val="center"/>
        <w:rPr>
          <w:rFonts w:ascii="Times New Roman" w:hAnsi="Times New Roman" w:cs="Times New Roman"/>
          <w:noProof/>
          <w:color w:val="auto"/>
          <w:sz w:val="28"/>
          <w:szCs w:val="28"/>
          <w:lang w:eastAsia="id-ID"/>
        </w:rPr>
      </w:pPr>
      <w:bookmarkStart w:id="0" w:name="OLE_LINK2"/>
      <w:bookmarkStart w:id="1" w:name="OLE_LINK4"/>
      <w:r>
        <w:rPr>
          <w:rFonts w:ascii="Times New Roman" w:hAnsi="Times New Roman" w:cs="Times New Roman"/>
          <w:noProof/>
          <w:color w:val="auto"/>
          <w:sz w:val="28"/>
          <w:szCs w:val="28"/>
        </w:rPr>
        <w:t xml:space="preserve">Pengaruh Rasio Dana Murah (CASA) terhadap Biaya Dana dan </w:t>
      </w:r>
      <w:r>
        <w:rPr>
          <w:rFonts w:ascii="Times New Roman" w:hAnsi="Times New Roman" w:cs="Times New Roman"/>
          <w:i/>
          <w:iCs/>
          <w:noProof/>
          <w:color w:val="auto"/>
          <w:sz w:val="28"/>
          <w:szCs w:val="28"/>
        </w:rPr>
        <w:t>Net Interest Margin</w:t>
      </w:r>
      <w:r>
        <w:rPr>
          <w:rFonts w:ascii="Times New Roman" w:hAnsi="Times New Roman" w:cs="Times New Roman"/>
          <w:noProof/>
          <w:color w:val="auto"/>
          <w:sz w:val="28"/>
          <w:szCs w:val="28"/>
        </w:rPr>
        <w:t xml:space="preserve"> pada Bank Nagari Periode 2021–2025</w:t>
      </w:r>
    </w:p>
    <w:p w14:paraId="1C3F7F3D" w14:textId="77777777" w:rsidR="000D1248" w:rsidRDefault="000D1248" w:rsidP="00103CB3">
      <w:pPr>
        <w:pStyle w:val="02-Saintis-Paper-title"/>
        <w:spacing w:line="360" w:lineRule="auto"/>
        <w:jc w:val="center"/>
        <w:rPr>
          <w:rFonts w:ascii="Times New Roman" w:hAnsi="Times New Roman" w:cs="Times New Roman"/>
          <w:sz w:val="24"/>
          <w:szCs w:val="24"/>
        </w:rPr>
      </w:pPr>
    </w:p>
    <w:p w14:paraId="4B00FD68" w14:textId="77777777" w:rsidR="00851B84" w:rsidRPr="000D1248" w:rsidRDefault="00851B84" w:rsidP="00103CB3">
      <w:pPr>
        <w:pStyle w:val="02-Saintis-Paper-title"/>
        <w:spacing w:line="360" w:lineRule="auto"/>
        <w:jc w:val="center"/>
        <w:rPr>
          <w:rFonts w:ascii="Times New Roman" w:hAnsi="Times New Roman" w:cs="Times New Roman"/>
          <w:sz w:val="24"/>
          <w:szCs w:val="24"/>
        </w:rPr>
      </w:pPr>
    </w:p>
    <w:bookmarkEnd w:id="0"/>
    <w:bookmarkEnd w:id="1"/>
    <w:p w14:paraId="00066C1B" w14:textId="64BA79E1" w:rsidR="007C508C" w:rsidRPr="0021549B" w:rsidRDefault="00522A10" w:rsidP="00103CB3">
      <w:pPr>
        <w:pStyle w:val="04-Saintis-Author"/>
        <w:spacing w:before="0" w:after="0" w:line="360" w:lineRule="auto"/>
        <w:jc w:val="center"/>
        <w:rPr>
          <w:rFonts w:ascii="Times New Roman" w:hAnsi="Times New Roman" w:cs="Times New Roman"/>
          <w:sz w:val="22"/>
          <w:szCs w:val="22"/>
        </w:rPr>
      </w:pPr>
      <w:r>
        <w:rPr>
          <w:rFonts w:ascii="Times New Roman" w:hAnsi="Times New Roman" w:cs="Times New Roman"/>
          <w:sz w:val="22"/>
          <w:szCs w:val="22"/>
        </w:rPr>
        <w:t>Rizky Kurniawan</w:t>
      </w:r>
      <w:r w:rsidR="00145B67">
        <w:rPr>
          <w:rFonts w:ascii="Times New Roman" w:hAnsi="Times New Roman" w:cs="Times New Roman"/>
          <w:sz w:val="22"/>
          <w:szCs w:val="22"/>
          <w:vertAlign w:val="superscript"/>
        </w:rPr>
        <w:t>1</w:t>
      </w:r>
      <w:r w:rsidR="00145B67">
        <w:rPr>
          <w:rFonts w:ascii="Times New Roman" w:hAnsi="Times New Roman" w:cs="Times New Roman"/>
          <w:sz w:val="22"/>
          <w:szCs w:val="22"/>
        </w:rPr>
        <w:t>*, [Nama Tutor]</w:t>
      </w:r>
      <w:r w:rsidR="00145B67">
        <w:rPr>
          <w:rFonts w:ascii="Times New Roman" w:hAnsi="Times New Roman" w:cs="Times New Roman"/>
          <w:sz w:val="22"/>
          <w:szCs w:val="22"/>
          <w:vertAlign w:val="superscript"/>
        </w:rPr>
        <w:t>2</w:t>
      </w:r>
    </w:p>
    <w:p w14:paraId="116DFBD0" w14:textId="0A409C21" w:rsidR="007C508C" w:rsidRPr="000D1248" w:rsidRDefault="00BC606F" w:rsidP="00103CB3">
      <w:pPr>
        <w:pStyle w:val="05-Saintis-Affiliation"/>
        <w:spacing w:line="360" w:lineRule="auto"/>
        <w:ind w:left="120" w:hanging="120"/>
        <w:jc w:val="center"/>
        <w:rPr>
          <w:rFonts w:ascii="Times New Roman" w:hAnsi="Times New Roman" w:cs="Times New Roman"/>
          <w:sz w:val="24"/>
          <w:szCs w:val="24"/>
        </w:rPr>
      </w:pPr>
      <w:r w:rsidRPr="000D1248">
        <w:rPr>
          <w:rFonts w:ascii="Times New Roman" w:hAnsi="Times New Roman" w:cs="Times New Roman"/>
          <w:sz w:val="24"/>
          <w:szCs w:val="24"/>
          <w:vertAlign w:val="superscript"/>
        </w:rPr>
        <w:t>1</w:t>
      </w:r>
      <w:r w:rsidR="00175F33" w:rsidRPr="000D1248">
        <w:rPr>
          <w:rFonts w:ascii="Times New Roman" w:hAnsi="Times New Roman" w:cs="Times New Roman"/>
          <w:sz w:val="24"/>
          <w:szCs w:val="24"/>
          <w:vertAlign w:val="superscript"/>
        </w:rPr>
        <w:t xml:space="preserve"> </w:t>
      </w:r>
      <w:r w:rsidR="00145B67" w:rsidRPr="000D1248">
        <w:rPr>
          <w:rFonts w:ascii="Times New Roman" w:hAnsi="Times New Roman" w:cs="Times New Roman"/>
          <w:sz w:val="24"/>
          <w:szCs w:val="24"/>
        </w:rPr>
        <w:t>Program Studi Manajemen</w:t>
      </w:r>
      <w:r w:rsidR="007C508C" w:rsidRPr="000D1248">
        <w:rPr>
          <w:rFonts w:ascii="Times New Roman" w:hAnsi="Times New Roman" w:cs="Times New Roman"/>
          <w:sz w:val="24"/>
          <w:szCs w:val="24"/>
        </w:rPr>
        <w:t xml:space="preserve">, </w:t>
      </w:r>
      <w:r w:rsidR="009B6F44">
        <w:rPr>
          <w:rFonts w:ascii="Times New Roman" w:hAnsi="Times New Roman" w:cs="Times New Roman"/>
          <w:sz w:val="24"/>
          <w:szCs w:val="24"/>
        </w:rPr>
        <w:t xml:space="preserve">Fakultas Ekonomi dan Bisnis, </w:t>
      </w:r>
      <w:r w:rsidR="007C508C" w:rsidRPr="000D1248">
        <w:rPr>
          <w:rFonts w:ascii="Times New Roman" w:hAnsi="Times New Roman" w:cs="Times New Roman"/>
          <w:sz w:val="24"/>
          <w:szCs w:val="24"/>
        </w:rPr>
        <w:t xml:space="preserve">Universitas </w:t>
      </w:r>
      <w:r w:rsidR="008B1E9F" w:rsidRPr="000D1248">
        <w:rPr>
          <w:rFonts w:ascii="Times New Roman" w:hAnsi="Times New Roman" w:cs="Times New Roman"/>
          <w:sz w:val="24"/>
          <w:szCs w:val="24"/>
        </w:rPr>
        <w:t>Terbuka</w:t>
      </w:r>
      <w:r w:rsidR="007C508C" w:rsidRPr="000D1248">
        <w:rPr>
          <w:rFonts w:ascii="Times New Roman" w:hAnsi="Times New Roman" w:cs="Times New Roman"/>
          <w:sz w:val="24"/>
          <w:szCs w:val="24"/>
        </w:rPr>
        <w:t xml:space="preserve">, </w:t>
      </w:r>
      <w:r w:rsidR="00522A10">
        <w:rPr>
          <w:rFonts w:ascii="Times New Roman" w:hAnsi="Times New Roman" w:cs="Times New Roman"/>
          <w:sz w:val="24"/>
          <w:szCs w:val="24"/>
        </w:rPr>
        <w:t>Padang,</w:t>
      </w:r>
      <w:r w:rsidR="007C508C" w:rsidRPr="000D1248">
        <w:rPr>
          <w:rFonts w:ascii="Times New Roman" w:hAnsi="Times New Roman" w:cs="Times New Roman"/>
          <w:sz w:val="24"/>
          <w:szCs w:val="24"/>
        </w:rPr>
        <w:t xml:space="preserve"> Indonesia</w:t>
      </w:r>
    </w:p>
    <w:p w14:paraId="4362104A" w14:textId="6BB2604C" w:rsidR="008B1E9F" w:rsidRPr="000D1248" w:rsidRDefault="009824A8" w:rsidP="00103CB3">
      <w:pPr>
        <w:pStyle w:val="05-Saintis-Affiliation"/>
        <w:spacing w:line="360" w:lineRule="auto"/>
        <w:ind w:left="120" w:hanging="120"/>
        <w:jc w:val="center"/>
        <w:rPr>
          <w:rFonts w:ascii="Times New Roman" w:hAnsi="Times New Roman" w:cs="Times New Roman"/>
          <w:sz w:val="24"/>
          <w:szCs w:val="24"/>
        </w:rPr>
      </w:pPr>
      <w:r w:rsidRPr="000D1248">
        <w:rPr>
          <w:rFonts w:ascii="Times New Roman" w:hAnsi="Times New Roman" w:cs="Times New Roman"/>
          <w:sz w:val="24"/>
          <w:szCs w:val="24"/>
          <w:vertAlign w:val="superscript"/>
        </w:rPr>
        <w:t>2</w:t>
      </w:r>
    </w:p>
    <w:p w14:paraId="2417B115" w14:textId="77777777" w:rsidR="007C508C" w:rsidRPr="000D1248" w:rsidRDefault="007C508C" w:rsidP="00103CB3">
      <w:pPr>
        <w:pStyle w:val="05-Saintis-Affiliation"/>
        <w:spacing w:line="360" w:lineRule="auto"/>
        <w:ind w:left="120" w:hanging="120"/>
        <w:rPr>
          <w:rFonts w:ascii="Times New Roman" w:hAnsi="Times New Roman" w:cs="Times New Roman"/>
          <w:sz w:val="24"/>
          <w:szCs w:val="24"/>
        </w:rPr>
      </w:pPr>
    </w:p>
    <w:p w14:paraId="3BF13DDC" w14:textId="015B0E7B" w:rsidR="00014A33" w:rsidRPr="0096762E" w:rsidRDefault="00406D72" w:rsidP="00103CB3">
      <w:pPr>
        <w:pStyle w:val="05-Saintis-Affiliation"/>
        <w:spacing w:line="360" w:lineRule="auto"/>
        <w:ind w:left="120" w:hanging="120"/>
        <w:jc w:val="center"/>
        <w:rPr>
          <w:rStyle w:val="Hyperlink"/>
          <w:rFonts w:ascii="Times New Roman" w:hAnsi="Times New Roman"/>
          <w:sz w:val="24"/>
        </w:rPr>
      </w:pPr>
      <w:r w:rsidRPr="000D1248">
        <w:rPr>
          <w:rFonts w:ascii="Times New Roman" w:hAnsi="Times New Roman" w:cs="Times New Roman"/>
          <w:sz w:val="24"/>
          <w:szCs w:val="24"/>
        </w:rPr>
        <w:t>*</w:t>
      </w:r>
      <w:r w:rsidR="009B6F44">
        <w:rPr>
          <w:rFonts w:ascii="Times New Roman" w:hAnsi="Times New Roman" w:cs="Times New Roman"/>
          <w:sz w:val="24"/>
          <w:szCs w:val="24"/>
        </w:rPr>
        <w:t>Korespondensi</w:t>
      </w:r>
      <w:r w:rsidR="00175F33" w:rsidRPr="000D1248">
        <w:rPr>
          <w:rFonts w:ascii="Times New Roman" w:hAnsi="Times New Roman" w:cs="Times New Roman"/>
          <w:sz w:val="24"/>
          <w:szCs w:val="24"/>
        </w:rPr>
        <w:t>:</w:t>
      </w:r>
      <w:r w:rsidR="00AD2629" w:rsidRPr="000D1248">
        <w:rPr>
          <w:rFonts w:ascii="Times New Roman" w:hAnsi="Times New Roman" w:cs="Times New Roman"/>
          <w:sz w:val="24"/>
          <w:szCs w:val="24"/>
        </w:rPr>
        <w:t xml:space="preserve"> </w:t>
      </w:r>
      <w:hyperlink r:id="rId8" w:history="1">
        <w:r w:rsidR="00DB73BF" w:rsidRPr="00361DBD">
          <w:rPr>
            <w:rStyle w:val="Hyperlink"/>
            <w:rFonts w:ascii="Times New Roman" w:hAnsi="Times New Roman"/>
            <w:sz w:val="24"/>
            <w:szCs w:val="24"/>
          </w:rPr>
          <w:t>052584652@ecampus.ut.ac.id</w:t>
        </w:r>
      </w:hyperlink>
    </w:p>
    <w:p w14:paraId="30DEE27C" w14:textId="77777777" w:rsidR="0096762E" w:rsidRDefault="0096762E" w:rsidP="00103CB3">
      <w:pPr>
        <w:pStyle w:val="AbstractText"/>
        <w:spacing w:after="0" w:line="360" w:lineRule="auto"/>
        <w:ind w:left="-96" w:right="142"/>
        <w:jc w:val="center"/>
        <w:rPr>
          <w:rStyle w:val="Hyperlink"/>
          <w:rFonts w:ascii="Times New Roman" w:hAnsi="Times New Roman"/>
          <w:kern w:val="2"/>
          <w:sz w:val="24"/>
          <w:lang w:eastAsia="zh-CN"/>
        </w:rPr>
      </w:pPr>
    </w:p>
    <w:p w14:paraId="71A38669" w14:textId="77777777" w:rsidR="00851B84" w:rsidRPr="0096762E" w:rsidRDefault="00851B84" w:rsidP="00103CB3">
      <w:pPr>
        <w:pStyle w:val="AbstractText"/>
        <w:spacing w:after="0" w:line="360" w:lineRule="auto"/>
        <w:ind w:left="-96" w:right="142"/>
        <w:jc w:val="center"/>
        <w:rPr>
          <w:rStyle w:val="Hyperlink"/>
          <w:rFonts w:ascii="Times New Roman" w:hAnsi="Times New Roman"/>
          <w:kern w:val="2"/>
          <w:sz w:val="24"/>
          <w:lang w:eastAsia="zh-CN"/>
        </w:rPr>
      </w:pPr>
    </w:p>
    <w:p w14:paraId="29686268" w14:textId="77777777" w:rsidR="00851B84" w:rsidRPr="000D1248" w:rsidRDefault="00851B84" w:rsidP="00103CB3">
      <w:pPr>
        <w:pStyle w:val="09-Saintis-To-cite-this-article-content"/>
        <w:spacing w:line="360" w:lineRule="auto"/>
        <w:rPr>
          <w:rFonts w:eastAsia="SimSun"/>
          <w:color w:val="000000"/>
          <w:sz w:val="24"/>
          <w:szCs w:val="24"/>
          <w:lang w:val="id-ID"/>
        </w:rPr>
      </w:pPr>
    </w:p>
    <w:p w14:paraId="2493F7CA" w14:textId="77777777" w:rsidR="006872CB" w:rsidRPr="000D1248" w:rsidRDefault="00FB70C3" w:rsidP="00103CB3">
      <w:pPr>
        <w:pStyle w:val="14-Saintis-Level1-single-line"/>
        <w:numPr>
          <w:ilvl w:val="0"/>
          <w:numId w:val="23"/>
        </w:numPr>
        <w:tabs>
          <w:tab w:val="left" w:pos="0"/>
          <w:tab w:val="left" w:pos="284"/>
        </w:tabs>
        <w:spacing w:before="0" w:after="0" w:line="360" w:lineRule="auto"/>
        <w:ind w:left="0" w:firstLine="0"/>
        <w:rPr>
          <w:rFonts w:ascii="Times New Roman" w:hAnsi="Times New Roman" w:cs="Times New Roman"/>
          <w:color w:val="0070C0"/>
          <w:sz w:val="24"/>
          <w:szCs w:val="24"/>
        </w:rPr>
      </w:pPr>
      <w:r w:rsidRPr="0096762E">
        <w:rPr>
          <w:rFonts w:ascii="Times New Roman" w:hAnsi="Times New Roman" w:cs="Times New Roman"/>
          <w:color w:val="auto"/>
          <w:sz w:val="24"/>
          <w:szCs w:val="24"/>
        </w:rPr>
        <w:t>PENDAHULUAN</w:t>
      </w:r>
    </w:p>
    <w:p w14:paraId="5B95C936" w14:textId="77777777" w:rsidR="00CF4081" w:rsidRDefault="00000000">
      <w:pPr>
        <w:pStyle w:val="14-Saintis-Level1-single-line"/>
        <w:keepNext/>
        <w:spacing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1.1 Latar Belakang</w:t>
      </w:r>
    </w:p>
    <w:p w14:paraId="1C550BBD"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Bank berperan sebagai lembaga intermediasi yang menghimpun dana dari masyarakat dalam bentuk simpanan, lalu menyalurkannya kembali dalam bentuk kredit (Kasmir, 2014; Dendawijaya, 2003). Dalam menjalankan kegiatan operasinya, bank lebih banyak memakai dana yang dihimpun dari masyarakat daripada modal sendiri, sehingga kepercayaan masyarakat dan kinerja keuangan harus selalu dijaga (Rosalina et al., 2025). Sumber pendapatan utama bank berasal dari selisih antara bunga yang diterima dan biaya dana yang dibayarkan, di samping pendapatan berbasis komisi (Rosalina et al., 2025). Dari sini terlihat bahwa seberapa murah bank memperoleh dananya ikut menentukan seberapa lebar margin yang dapat dihasilkan.</w:t>
      </w:r>
    </w:p>
    <w:p w14:paraId="05B01373"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 xml:space="preserve">Komposisi dana pihak ketiga (DPK) memegang peran penting dalam hal ini. DPK terdiri atas giro, tabungan, dan deposito. Giro dan tabungan dikenal sebagai dana murah atau </w:t>
      </w:r>
      <w:r w:rsidRPr="00522A10">
        <w:rPr>
          <w:rFonts w:ascii="Times New Roman" w:hAnsi="Times New Roman"/>
          <w:i/>
          <w:iCs/>
          <w:sz w:val="24"/>
          <w:szCs w:val="24"/>
          <w:lang w:val="sv-SE"/>
        </w:rPr>
        <w:t>Current Account Saving Account</w:t>
      </w:r>
      <w:r w:rsidRPr="00522A10">
        <w:rPr>
          <w:rFonts w:ascii="Times New Roman" w:hAnsi="Times New Roman"/>
          <w:sz w:val="24"/>
          <w:szCs w:val="24"/>
          <w:lang w:val="sv-SE"/>
        </w:rPr>
        <w:t xml:space="preserve"> (CASA) karena bunga yang harus dibayarkan bank lebih kecil dibandingkan bunga deposito berjangka (Khabibah et al., 2020; Wulandari &amp; Wahyudi, 2025). Semakin besar porsi CASA dalam total DPK, secara teori semakin rendah biaya dana (</w:t>
      </w:r>
      <w:r w:rsidRPr="00522A10">
        <w:rPr>
          <w:rFonts w:ascii="Times New Roman" w:hAnsi="Times New Roman"/>
          <w:i/>
          <w:iCs/>
          <w:sz w:val="24"/>
          <w:szCs w:val="24"/>
          <w:lang w:val="sv-SE"/>
        </w:rPr>
        <w:t>cost of fund</w:t>
      </w:r>
      <w:r w:rsidRPr="00522A10">
        <w:rPr>
          <w:rFonts w:ascii="Times New Roman" w:hAnsi="Times New Roman"/>
          <w:sz w:val="24"/>
          <w:szCs w:val="24"/>
          <w:lang w:val="sv-SE"/>
        </w:rPr>
        <w:t xml:space="preserve">) yang ditanggung bank (Khabibah et al., 2020). Nurmavita et al. (2025) menyebutkan bahwa bank yang mampu menekan biaya dana melalui peningkatan dana murah akan memperoleh margin yang lebih lebar, sehingga naiknya </w:t>
      </w:r>
      <w:r w:rsidRPr="00522A10">
        <w:rPr>
          <w:rFonts w:ascii="Times New Roman" w:hAnsi="Times New Roman"/>
          <w:i/>
          <w:iCs/>
          <w:sz w:val="24"/>
          <w:szCs w:val="24"/>
          <w:lang w:val="sv-SE"/>
        </w:rPr>
        <w:t>Net Interest Margin</w:t>
      </w:r>
      <w:r w:rsidRPr="00522A10">
        <w:rPr>
          <w:rFonts w:ascii="Times New Roman" w:hAnsi="Times New Roman"/>
          <w:sz w:val="24"/>
          <w:szCs w:val="24"/>
          <w:lang w:val="sv-SE"/>
        </w:rPr>
        <w:t xml:space="preserve"> (NIM) tidak hanya mencerminkan tingginya pendapatan bunga, tetapi juga keberhasilan bank mengelola struktur </w:t>
      </w:r>
      <w:r w:rsidRPr="00522A10">
        <w:rPr>
          <w:rFonts w:ascii="Times New Roman" w:hAnsi="Times New Roman"/>
          <w:sz w:val="24"/>
          <w:szCs w:val="24"/>
          <w:lang w:val="sv-SE"/>
        </w:rPr>
        <w:lastRenderedPageBreak/>
        <w:t>pendanaannya secara efisien. Iklimah et al. (2025) juga menekankan bahwa untuk memperoleh NIM yang meningkat, bank perlu menekan biaya bunga yang dibayarkan kepada masing-masing sumber dananya. Dengan demikian, terbentuk rantai hubungan yang masuk akal: CASA yang lebih tinggi menurunkan biaya dana, dan biaya dana yang lebih rendah membantu menjaga NIM.</w:t>
      </w:r>
    </w:p>
    <w:p w14:paraId="4EE6E8AF"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Persoalan biaya dana menjadi semakin penting ketika kondisi pasar berubah. Perubahan suku bunga acuan Bank Indonesia memengaruhi pendapatan bunga sekaligus biaya dana: ketika suku bunga naik, bank dapat memperoleh bunga kredit yang lebih tinggi, tetapi juga harus membayar biaya dana yang lebih mahal kepada pihak ketiga (Nurmavita et al., 2025). Jika strategi pengelolaan aset dan liabilitas tidak responsif, NIM dapat tertekan dan berdampak negatif pada profitabilitas (Nurmavita et al., 2025). Tidak mengherankan apabila peningkatan CASA menjadi strategi yang dijalankan hampir seluruh bank di Indonesia untuk memperbaiki profitabilitasnya (Khabibah et al., 2020).</w:t>
      </w:r>
    </w:p>
    <w:p w14:paraId="0B796D79"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PT Bank Pembangunan Daerah Sumatera Barat (Bank Nagari) merupakan bank pembangunan daerah (BPD) asal Sumatera Barat yang juga menghadapi persoalan tersebut. Pada 2021, Bank Nagari membukukan laba bersih Rp416,29 miliar yang menurut direksinya didorong oleh pertumbuhan pendapatan bunga kredit dan efisiensi beban bunga DPK; pada tahun itu NIM tercatat 6,57%, rasio CASA 48,45%, dan BOPO 81,51% (Kontan, 2022). NIM kemudian naik menjadi 7,09% pada 2022 dan turun menjadi 6,46% pada 2023, sementara dana murah pada 2023 sebesar Rp11,26 triliun, terkoreksi tipis 0,01% dari tahun sebelumnya (Bisnis.com, 2024). Pada 2024, rasio CASA turun menjadi 40,96% dan NIM menjadi 5,99% (InfobankNews, 2025). Pada 2025, manajemen melaporkan rasio CASA naik kembali menjadi 44,32% melalui reposisi dana berbiaya mahal ke dana murah, tetapi NIM tercatat 5,89% dan laba bersih turun 8,24% menjadi Rp493,74 miliar (Padangkita.com, 2026; angka belum diaudit).</w:t>
      </w:r>
    </w:p>
    <w:p w14:paraId="4C698403"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Rangkaian angka tersebut menunjukkan pola yang belum sepenuhnya searah. Dari 2021 ke 2024, rasio CASA turun dari 48,45% menjadi 40,96% dan NIM turun dari 6,57% menjadi 5,99%, meskipun NIM sempat naik pada 2022. Namun pada 2025, ketika rasio CASA naik sekitar 3,4 poin persentase, NIM justru turun tipis dari 5,99% menjadi 5,89%. Manajemen mengaitkan kinerja 2025 dengan kredit yang terkoreksi 1,10%, melemahnya daya beli, perlambatan ekonomi daerah, serta dampak banjir dan longsor di sejumlah daerah di Sumatera Barat (Padangkita.com, 2026). Artinya, sisi aset ikut menentukan besarnya NIM, sehingga hubungan antara CASA, biaya dana, dan NIM tidak dapat disimpulkan hanya dari angka per tahun. Perkembangan terbaru menunjukkan arah yang lebih sejalan dengan teori: pada Juni 2026, CASA tumbuh 10,48% menjadi Rp12,74 triliun, NIM naik dari 5,81% menjadi 6,17%, dan manajemen menyebut strategi menekan biaya dana sebagai salah satu pendorong pertumbuhan laba (InfobankNews, 2026). Pola yang berubah-ubah ini menunjukkan perlunya pengujian empiris yang terukur.</w:t>
      </w:r>
    </w:p>
    <w:p w14:paraId="06FA44C1"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Penelitian terdahulu pada umumnya menempatkan NIM sebagai penjelas profitabilitas, dengan hasil yang belum seragam. NIM berpengaruh positif dan signifikan terhadap ROA pada bank BUMN (Nurmavita et al., 2025; Yulianah &amp; Aji, 2021), pada Bank Mandiri (Ramadanti &amp; Setyowati, 2022), pada BRI (Manalu et al., 2025), dan pada bank yang terdaftar di BEI (Anton et al., 2021). Sebaliknya, Yanti dan Noviansyah (2025) tidak menemukan pengaruh NIM yang signifikan terhadap ROA bank BUMN periode 2019–2023, Hidayat et al. (2022) melaporkan hal serupa pada BRI, dan Iklimah et al. (2025) tidak menemukan pengaruh parsial NIM terhadap ROE Bank Permata. Pada harga saham bank BUMN pun hasilnya berbeda: NIM berpengaruh signifikan pada periode 2016–2024 (Safitri &amp; Khoiriah, 2026), tetapi tidak berpengaruh pada periode 2020–2024 (Rosalina et al., 2025). Penelitian pada BPD dan Bank Nagari juga umumnya menguji ROA dengan rasio seperti CAR, NIM, BOPO, NPL, dan LDR (Dewi &amp; Ghalib, 2024; Ferly et al., 2023; Iklin, 2024; Supriyono &amp; Herdhayinta, 2019; Yenti, 2021).</w:t>
      </w:r>
    </w:p>
    <w:p w14:paraId="4A2C5589"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Penelitian yang secara khusus menyoroti CASA masih lebih sedikit. Khabibah et al. (2020), pada 40 bank di BEI tahun 2016–2018, menemukan bahwa CASA meningkatkan ROA dan ROE; analisis tambahannya menunjukkan CASA juga meningkatkan NIM, dan NIM memediasi hubungan CASA dengan ROA. Wulandari dan Wahyudi (2025), pada 35 bank konvensional periode 2020–2023, menemukan CASA berpengaruh positif dan signifikan terhadap ROA. Pada kedua penelitian tersebut, profitabilitas menjadi variabel yang dijelaskan, sedangkan biaya dana, yang secara teori menjadi penghubung antara CASA dan margin, tidak diukur secara langsung.</w:t>
      </w:r>
    </w:p>
    <w:p w14:paraId="21DA562B"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Berdasarkan uraian tersebut, penelitian ini menguji pengaruh rasio CASA terhadap biaya dana dan NIM pada Bank Nagari periode 2021–2025. Penelitian ini penting karena pendapatan Bank Nagari masih bertumpu pada kredit dan pembiayaan sebagai sumber utama pendapatan operasional (Padangkita.com, 2026), sehingga pengelolaan biaya dana menjadi salah satu kunci menjaga margin ketika pertumbuhan kredit melambat. Hasilnya diharapkan bermanfaat bagi manajemen Bank Nagari dalam menilai strategi penghimpunan dana murah, serta bagi peneliti selanjutnya yang mengkaji struktur pendanaan bank daerah.</w:t>
      </w:r>
    </w:p>
    <w:p w14:paraId="50286A97" w14:textId="77777777" w:rsidR="00CF4081" w:rsidRDefault="00000000">
      <w:pPr>
        <w:pStyle w:val="14-Saintis-Level1-single-line"/>
        <w:keepNext/>
        <w:spacing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1.2 Research Gap</w:t>
      </w:r>
    </w:p>
    <w:p w14:paraId="398DFAD2"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 xml:space="preserve">Dari telaah literatur di atas, terdapat tiga celah yang menjadi dasar penelitian ini. </w:t>
      </w:r>
      <w:r w:rsidRPr="00522A10">
        <w:rPr>
          <w:rFonts w:ascii="Times New Roman" w:hAnsi="Times New Roman"/>
          <w:i/>
          <w:iCs/>
          <w:sz w:val="24"/>
          <w:szCs w:val="24"/>
          <w:lang w:val="sv-SE"/>
        </w:rPr>
        <w:t>Pertama</w:t>
      </w:r>
      <w:r w:rsidRPr="00522A10">
        <w:rPr>
          <w:rFonts w:ascii="Times New Roman" w:hAnsi="Times New Roman"/>
          <w:sz w:val="24"/>
          <w:szCs w:val="24"/>
          <w:lang w:val="sv-SE"/>
        </w:rPr>
        <w:t xml:space="preserve">, hasil penelitian tentang NIM tidak konsisten antarobjek dan periode: sebagian menemukan pengaruh positif yang signifikan, sebagian lain tidak menemukan pengaruh (Hidayat et al., 2022; Rosalina et al., 2025; Yanti &amp; Noviansyah, 2025). Perbedaan struktur pendanaan, khususnya porsi dana murah, merupakan salah satu penjelas yang mungkin, tetapi penelitian-penelitian tersebut tidak mengujinya. </w:t>
      </w:r>
      <w:r w:rsidRPr="00522A10">
        <w:rPr>
          <w:rFonts w:ascii="Times New Roman" w:hAnsi="Times New Roman"/>
          <w:i/>
          <w:iCs/>
          <w:sz w:val="24"/>
          <w:szCs w:val="24"/>
          <w:lang w:val="sv-SE"/>
        </w:rPr>
        <w:t>Kedua</w:t>
      </w:r>
      <w:r w:rsidRPr="00522A10">
        <w:rPr>
          <w:rFonts w:ascii="Times New Roman" w:hAnsi="Times New Roman"/>
          <w:sz w:val="24"/>
          <w:szCs w:val="24"/>
          <w:lang w:val="sv-SE"/>
        </w:rPr>
        <w:t>, penelitian tentang CASA berhenti pada profitabilitas (Khabibah et al., 2020; Wulandari &amp; Wahyudi, 2025). Jalur CASA ke biaya dana lebih sering disebut sebagai argumen teoretis daripada diuji sebagai hubungan utama, sedangkan hubungan CASA dengan NIM baru diuji sebagai analisis tambahan pada bank terbuka periode sebelum pandemi (Khabibah et al., 2020).</w:t>
      </w:r>
    </w:p>
    <w:p w14:paraId="16DC2D92"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i/>
          <w:iCs/>
          <w:sz w:val="24"/>
          <w:szCs w:val="24"/>
          <w:lang w:val="sv-SE"/>
        </w:rPr>
        <w:t>Ketiga</w:t>
      </w:r>
      <w:r w:rsidRPr="00522A10">
        <w:rPr>
          <w:rFonts w:ascii="Times New Roman" w:hAnsi="Times New Roman"/>
          <w:sz w:val="24"/>
          <w:szCs w:val="24"/>
          <w:lang w:val="sv-SE"/>
        </w:rPr>
        <w:t>, dari sisi objek dan periode, kajian pada BPD dan Bank Nagari lebih banyak menggunakan ROA sebagai variabel terikat dengan CAR, NIM, BOPO, NPL, atau LDR sebagai variabel bebas (Dewi &amp; Ghalib, 2024; Ferly et al., 2023; Iklin, 2024; Yenti, 2021). Dalam literatur yang ditelaah, belum ada penelitian yang menguji CASA terhadap biaya dana dan NIM pada Bank Nagari, apalagi pada periode 2021–2025 yang mencakup pemulihan pascapandemi, perubahan suku bunga, dan perlambatan ekonomi daerah. Penelitian ini mengisi celah tersebut.</w:t>
      </w:r>
    </w:p>
    <w:p w14:paraId="17CD075E" w14:textId="77777777" w:rsidR="00CF4081" w:rsidRDefault="00000000">
      <w:pPr>
        <w:pStyle w:val="14-Saintis-Level1-single-line"/>
        <w:keepNext/>
        <w:spacing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1.3 Rumusan Masalah</w:t>
      </w:r>
    </w:p>
    <w:p w14:paraId="2FA06602"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Berdasarkan latar belakang dan celah penelitian di atas, rumusan masalah penelitian ini adalah: (1) apakah rasio CASA berpengaruh terhadap biaya dana pada Bank Nagari periode 2021–2025; dan (2) apakah rasio CASA berpengaruh terhadap NIM pada Bank Nagari periode 2021–2025.</w:t>
      </w:r>
    </w:p>
    <w:p w14:paraId="377631CB" w14:textId="77777777" w:rsidR="00CF4081" w:rsidRDefault="00000000">
      <w:pPr>
        <w:pStyle w:val="14-Saintis-Level1-single-line"/>
        <w:keepNext/>
        <w:spacing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1.4 Tujuan Penelitian</w:t>
      </w:r>
    </w:p>
    <w:p w14:paraId="4C611522"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Penelitian ini bertujuan untuk: (1) menganalisis pengaruh rasio CASA terhadap biaya dana pada Bank Nagari periode 2021–2025; dan (2) menganalisis pengaruh rasio CASA terhadap NIM pada Bank Nagari periode 2021–2025. Penelitian dilakukan dengan pendekatan kuantitatif, yaitu menguji hubungan antarvariabel menggunakan data berupa angka dan analisis statistik (Sugiyono, 2016).</w:t>
      </w:r>
    </w:p>
    <w:p w14:paraId="437491C4" w14:textId="77777777" w:rsidR="00CF4081" w:rsidRDefault="00000000">
      <w:pPr>
        <w:pStyle w:val="14-Saintis-Level1-single-line"/>
        <w:keepNext/>
        <w:spacing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1.5 Manfaat Penelitian</w:t>
      </w:r>
    </w:p>
    <w:p w14:paraId="6A08F2ED"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Secara teoretis, penelitian ini menambah bukti empiris mengenai peran struktur dana murah terhadap biaya dana dan margin bunga bersih pada BPD, serta dapat menjadi tambahan referensi untuk menjelaskan ketidakkonsistenan hasil penelitian tentang NIM. Secara praktis, hasil penelitian dapat menjadi bahan pertimbangan manajemen Bank Nagari dalam menyusun strategi penghimpunan dana murah dan pengelolaan biaya dana untuk menjaga margin. Bagi investor, regulator, dan peneliti selanjutnya, penelitian ini memberi gambaran tentang hubungan struktur pendanaan dan kinerja intermediasi bank daerah.</w:t>
      </w:r>
    </w:p>
    <w:p w14:paraId="745C6F6C" w14:textId="77777777" w:rsidR="00CF4081" w:rsidRDefault="00000000">
      <w:pPr>
        <w:pStyle w:val="14-Saintis-Level1-single-line"/>
        <w:keepNext/>
        <w:spacing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1.6 Keterbatasan Penelitian</w:t>
      </w:r>
    </w:p>
    <w:p w14:paraId="192B6FB5"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Penelitian ini memiliki beberapa keterbatasan. Pertama, objek penelitian hanya satu bank sehingga hasilnya tidak dapat digeneralisasi ke seluruh BPD atau perbankan nasional. Kedua, periode 2021–2025 relatif pendek, sehingga jumlah observasi bergantung pada frekuensi data yang tersedia pada laporan publikasi (tahunan atau triwulanan) dan memengaruhi kekuatan uji statistik. Ketiga, hanya CASA yang diuji sebagai variabel bebas, sehingga faktor lain yang memengaruhi biaya dana dan NIM, seperti suku bunga acuan, pertumbuhan dan kualitas kredit, serta imbal hasil aset produktif, belum seluruhnya dikendalikan. Keempat, data bersumber dari laporan keuangan publikasi (data sekunder), sehingga kualitas data bergantung pada pelaporan bank.</w:t>
      </w:r>
    </w:p>
    <w:p w14:paraId="326934C4" w14:textId="77777777" w:rsidR="00CF4081" w:rsidRDefault="00000000">
      <w:pPr>
        <w:pStyle w:val="14-Saintis-Level1-single-line"/>
        <w:keepNext/>
        <w:spacing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1.7 Kajian Teori</w:t>
      </w:r>
    </w:p>
    <w:p w14:paraId="091A1E05" w14:textId="77777777" w:rsidR="00CF4081" w:rsidRPr="00522A10" w:rsidRDefault="00000000">
      <w:pPr>
        <w:pStyle w:val="20-Saintis-TextParagraph"/>
        <w:keepNext/>
        <w:spacing w:line="360" w:lineRule="auto"/>
        <w:ind w:firstLine="0"/>
        <w:rPr>
          <w:rFonts w:ascii="Times New Roman" w:hAnsi="Times New Roman"/>
          <w:b/>
          <w:bCs/>
          <w:sz w:val="24"/>
          <w:szCs w:val="24"/>
          <w:lang w:val="sv-SE"/>
        </w:rPr>
      </w:pPr>
      <w:r w:rsidRPr="00522A10">
        <w:rPr>
          <w:rFonts w:ascii="Times New Roman" w:hAnsi="Times New Roman"/>
          <w:b/>
          <w:bCs/>
          <w:sz w:val="24"/>
          <w:szCs w:val="24"/>
          <w:lang w:val="sv-SE"/>
        </w:rPr>
        <w:t>a. Dana Murah (CASA)</w:t>
      </w:r>
    </w:p>
    <w:p w14:paraId="49FE5EFD"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Dana pihak ketiga terdiri atas giro, tabungan, dan deposito. Giro dan tabungan disebut dana murah karena bank tidak perlu mengeluarkan banyak biaya bunga untuk memperolehnya, berbeda dengan deposito yang tergolong dana mahal (Khabibah et al., 2020). Rasio CASA menunjukkan proporsi dana murah terhadap total DPK dan dihitung dengan rumus berikut (Khabibah et al., 2020; Wulandari &amp; Wahyudi, 2025).</w:t>
      </w:r>
    </w:p>
    <w:p w14:paraId="3E8EDA17" w14:textId="77777777" w:rsidR="00CF4081" w:rsidRPr="00522A10" w:rsidRDefault="00000000">
      <w:pPr>
        <w:pStyle w:val="20-Saintis-TextParagraph"/>
        <w:spacing w:line="360" w:lineRule="auto"/>
        <w:ind w:firstLine="0"/>
        <w:jc w:val="center"/>
        <w:rPr>
          <w:rFonts w:ascii="Times New Roman" w:hAnsi="Times New Roman"/>
          <w:sz w:val="24"/>
          <w:szCs w:val="24"/>
          <w:lang w:val="sv-SE"/>
        </w:rPr>
      </w:pPr>
      <w:r w:rsidRPr="00522A10">
        <w:rPr>
          <w:rFonts w:ascii="Times New Roman" w:hAnsi="Times New Roman"/>
          <w:sz w:val="24"/>
          <w:szCs w:val="24"/>
          <w:lang w:val="sv-SE"/>
        </w:rPr>
        <w:t>CASA = (Giro + Tabungan) / Total DPK × 100%</w:t>
      </w:r>
    </w:p>
    <w:p w14:paraId="09517774"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Rasio CASA yang tinggi mencerminkan pendanaan yang murah dan relatif stabil sehingga berpotensi meningkatkan efisiensi biaya bank (Khabibah et al., 2020; Wulandari &amp; Wahyudi, 2025).</w:t>
      </w:r>
    </w:p>
    <w:p w14:paraId="1560617A" w14:textId="77777777" w:rsidR="00CF4081" w:rsidRPr="00522A10" w:rsidRDefault="00000000">
      <w:pPr>
        <w:pStyle w:val="20-Saintis-TextParagraph"/>
        <w:keepNext/>
        <w:spacing w:line="360" w:lineRule="auto"/>
        <w:ind w:firstLine="0"/>
        <w:rPr>
          <w:rFonts w:ascii="Times New Roman" w:hAnsi="Times New Roman"/>
          <w:b/>
          <w:bCs/>
          <w:sz w:val="24"/>
          <w:szCs w:val="24"/>
          <w:lang w:val="sv-SE"/>
        </w:rPr>
      </w:pPr>
      <w:r w:rsidRPr="00522A10">
        <w:rPr>
          <w:rFonts w:ascii="Times New Roman" w:hAnsi="Times New Roman"/>
          <w:b/>
          <w:bCs/>
          <w:sz w:val="24"/>
          <w:szCs w:val="24"/>
          <w:lang w:val="sv-SE"/>
        </w:rPr>
        <w:t>b. Biaya Dana</w:t>
      </w:r>
    </w:p>
    <w:p w14:paraId="2D8851F9"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Biaya dana (</w:t>
      </w:r>
      <w:r w:rsidRPr="00522A10">
        <w:rPr>
          <w:rFonts w:ascii="Times New Roman" w:hAnsi="Times New Roman"/>
          <w:i/>
          <w:iCs/>
          <w:sz w:val="24"/>
          <w:szCs w:val="24"/>
          <w:lang w:val="sv-SE"/>
        </w:rPr>
        <w:t>cost of fund</w:t>
      </w:r>
      <w:r w:rsidRPr="00522A10">
        <w:rPr>
          <w:rFonts w:ascii="Times New Roman" w:hAnsi="Times New Roman"/>
          <w:sz w:val="24"/>
          <w:szCs w:val="24"/>
          <w:lang w:val="sv-SE"/>
        </w:rPr>
        <w:t>) adalah biaya yang harus dikeluarkan bank untuk memperoleh sumber dananya, terutama berupa bunga yang dibayarkan kepada penyimpan dana (Kasmir, 2014; Iklimah et al., 2025). Dalam penelitian ini, biaya dana dioperasionalkan sebagai beban bunga atas DPK dibandingkan dengan rata-rata DPK. Semakin kecil nilainya, semakin murah bank memperoleh dananya.</w:t>
      </w:r>
    </w:p>
    <w:p w14:paraId="61BD9053" w14:textId="77777777" w:rsidR="00CF4081" w:rsidRPr="00522A10" w:rsidRDefault="00000000">
      <w:pPr>
        <w:pStyle w:val="20-Saintis-TextParagraph"/>
        <w:keepNext/>
        <w:spacing w:line="360" w:lineRule="auto"/>
        <w:ind w:firstLine="0"/>
        <w:rPr>
          <w:rFonts w:ascii="Times New Roman" w:hAnsi="Times New Roman"/>
          <w:b/>
          <w:bCs/>
          <w:sz w:val="24"/>
          <w:szCs w:val="24"/>
          <w:lang w:val="sv-SE"/>
        </w:rPr>
      </w:pPr>
      <w:r w:rsidRPr="00522A10">
        <w:rPr>
          <w:rFonts w:ascii="Times New Roman" w:hAnsi="Times New Roman"/>
          <w:b/>
          <w:bCs/>
          <w:sz w:val="24"/>
          <w:szCs w:val="24"/>
          <w:lang w:val="sv-SE"/>
        </w:rPr>
        <w:t>c. Net Interest Margin (NIM)</w:t>
      </w:r>
    </w:p>
    <w:p w14:paraId="4056BC4F"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NIM mengukur kemampuan bank memperoleh pendapatan bunga bersih dari aset produktifnya (Iklimah et al., 2025; Manalu et al., 2025). Rumusnya adalah sebagai berikut (Iklimah et al., 2025).</w:t>
      </w:r>
    </w:p>
    <w:p w14:paraId="5A82FBB6" w14:textId="77777777" w:rsidR="00CF4081" w:rsidRPr="00522A10" w:rsidRDefault="00000000">
      <w:pPr>
        <w:pStyle w:val="20-Saintis-TextParagraph"/>
        <w:spacing w:line="360" w:lineRule="auto"/>
        <w:ind w:firstLine="0"/>
        <w:jc w:val="center"/>
        <w:rPr>
          <w:rFonts w:ascii="Times New Roman" w:hAnsi="Times New Roman"/>
          <w:sz w:val="24"/>
          <w:szCs w:val="24"/>
          <w:lang w:val="sv-SE"/>
        </w:rPr>
      </w:pPr>
      <w:r w:rsidRPr="00522A10">
        <w:rPr>
          <w:rFonts w:ascii="Times New Roman" w:hAnsi="Times New Roman"/>
          <w:sz w:val="24"/>
          <w:szCs w:val="24"/>
          <w:lang w:val="sv-SE"/>
        </w:rPr>
        <w:t>NIM = Pendapatan Bunga Bersih / Rata-rata Aset Produktif × 100%</w:t>
      </w:r>
    </w:p>
    <w:p w14:paraId="6DFF6D3A"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Menurut Dendawijaya (2003), semakin tinggi NIM semakin efektif bank menempatkan aktiva produktifnya dalam bentuk kredit, dan menurut Taswan (2010) semakin besar rasio ini semakin baik kinerja bank dalam menghasilkan pendapatan bunga. Taswan juga mengingatkan bahwa NIM yang tinggi sebaiknya tidak semata-mata berasal dari mahalnya biaya intermediasi (sebagaimana dikutip dalam Rosalina et al., 2025).</w:t>
      </w:r>
    </w:p>
    <w:p w14:paraId="7B0E2A6D" w14:textId="77777777" w:rsidR="00CF4081" w:rsidRPr="00522A10" w:rsidRDefault="00000000">
      <w:pPr>
        <w:pStyle w:val="20-Saintis-TextParagraph"/>
        <w:keepNext/>
        <w:spacing w:line="360" w:lineRule="auto"/>
        <w:ind w:firstLine="0"/>
        <w:rPr>
          <w:rFonts w:ascii="Times New Roman" w:hAnsi="Times New Roman"/>
          <w:b/>
          <w:bCs/>
          <w:sz w:val="24"/>
          <w:szCs w:val="24"/>
          <w:lang w:val="sv-SE"/>
        </w:rPr>
      </w:pPr>
      <w:r w:rsidRPr="00522A10">
        <w:rPr>
          <w:rFonts w:ascii="Times New Roman" w:hAnsi="Times New Roman"/>
          <w:b/>
          <w:bCs/>
          <w:sz w:val="24"/>
          <w:szCs w:val="24"/>
          <w:lang w:val="sv-SE"/>
        </w:rPr>
        <w:t>d. Teori Sinyal (Signaling Theory)</w:t>
      </w:r>
    </w:p>
    <w:p w14:paraId="697E8836"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Teori sinyal, yang dikembangkan Spence (1973), menjelaskan bagaimana asimetri informasi dapat dikurangi dengan memberikan sinyal kepada pihak lain (Brigham &amp; Houston, 2017; Safitri &amp; Khoiriah, 2026). Dalam perbankan, rasio CASA yang tinggi dapat menjadi sinyal stabilitas pendanaan dan efisiensi operasional bagi para pemangku kepentingan (Wulandari &amp; Wahyudi, 2025). Teori ini melengkapi penjelasan bahwa struktur dana murah bukan hanya soal biaya, tetapi juga soal kualitas kinerja yang tampak bagi pihak luar.</w:t>
      </w:r>
    </w:p>
    <w:p w14:paraId="363C801F" w14:textId="77777777" w:rsidR="00CF4081" w:rsidRDefault="00000000">
      <w:pPr>
        <w:pStyle w:val="14-Saintis-Level1-single-line"/>
        <w:keepNext/>
        <w:spacing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1.8 Hipotesis Penelitian</w:t>
      </w:r>
    </w:p>
    <w:p w14:paraId="4A0BEC71"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Giro dan tabungan berbunga lebih rendah daripada deposito, sehingga kenaikan porsi CASA dalam DPK secara teori menurunkan rata-rata biaya dana (Khabibah et al., 2020). Di sisi lain, penurunan biaya dana memperlebar selisih antara pendapatan bunga dari kredit dan beban bunga atas dana masyarakat, sehingga NIM meningkat; Khabibah et al. (2020) juga menemukan bahwa CASA meningkatkan NIM pada bank-bank di BEI. Berdasarkan hal tersebut, hipotesis penelitian ini adalah:</w:t>
      </w:r>
    </w:p>
    <w:p w14:paraId="467A9A52"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H1: Rasio CASA berpengaruh negatif dan signifikan terhadap biaya dana pada Bank Nagari periode 2021–2025.</w:t>
      </w:r>
    </w:p>
    <w:p w14:paraId="687F0B83" w14:textId="77777777" w:rsidR="00CF4081" w:rsidRPr="00522A10" w:rsidRDefault="00000000">
      <w:pPr>
        <w:pStyle w:val="20-Saintis-TextParagraph"/>
        <w:spacing w:line="360" w:lineRule="auto"/>
        <w:ind w:firstLine="567"/>
        <w:rPr>
          <w:rFonts w:ascii="Times New Roman" w:hAnsi="Times New Roman"/>
          <w:sz w:val="24"/>
          <w:szCs w:val="24"/>
          <w:lang w:val="sv-SE"/>
        </w:rPr>
      </w:pPr>
      <w:r w:rsidRPr="00522A10">
        <w:rPr>
          <w:rFonts w:ascii="Times New Roman" w:hAnsi="Times New Roman"/>
          <w:sz w:val="24"/>
          <w:szCs w:val="24"/>
          <w:lang w:val="sv-SE"/>
        </w:rPr>
        <w:t>H2: Rasio CASA berpengaruh positif dan signifikan terhadap NIM pada Bank Nagari periode 2021–2025.</w:t>
      </w:r>
    </w:p>
    <w:p w14:paraId="6CE9849E" w14:textId="77777777" w:rsidR="00980B53" w:rsidRPr="00522A10" w:rsidRDefault="00980B53" w:rsidP="00103CB3">
      <w:pPr>
        <w:adjustRightInd w:val="0"/>
        <w:snapToGrid w:val="0"/>
        <w:spacing w:line="360" w:lineRule="auto"/>
        <w:jc w:val="left"/>
        <w:rPr>
          <w:rFonts w:ascii="Times New Roman" w:eastAsia="Malgun Gothic" w:hAnsi="Times New Roman"/>
          <w:color w:val="000000"/>
          <w:sz w:val="24"/>
          <w:szCs w:val="24"/>
          <w:lang w:val="sv-SE"/>
        </w:rPr>
      </w:pPr>
    </w:p>
    <w:p w14:paraId="55918E0B" w14:textId="77777777" w:rsidR="00BE7797" w:rsidRPr="004C1643" w:rsidRDefault="00851B84" w:rsidP="00103CB3">
      <w:pPr>
        <w:pStyle w:val="14-Saintis-Level1-single-line"/>
        <w:spacing w:before="0" w:after="0" w:line="360" w:lineRule="auto"/>
        <w:rPr>
          <w:rFonts w:ascii="Times New Roman" w:hAnsi="Times New Roman" w:cs="Times New Roman"/>
          <w:color w:val="000000" w:themeColor="text1"/>
          <w:sz w:val="24"/>
          <w:szCs w:val="24"/>
        </w:rPr>
      </w:pPr>
      <w:r w:rsidRPr="00522A10">
        <w:rPr>
          <w:rFonts w:ascii="Times New Roman" w:hAnsi="Times New Roman" w:cs="Times New Roman"/>
          <w:color w:val="000000" w:themeColor="text1"/>
          <w:sz w:val="24"/>
          <w:szCs w:val="24"/>
          <w:lang w:val="sv-SE"/>
        </w:rPr>
        <w:t>DAFTAR PUSTAKA</w:t>
      </w:r>
    </w:p>
    <w:p w14:paraId="4C032485" w14:textId="77777777" w:rsidR="00CF4081" w:rsidRPr="00522A10" w:rsidRDefault="00000000">
      <w:pPr>
        <w:pStyle w:val="34-Saintis-References-content"/>
        <w:spacing w:after="0" w:line="360" w:lineRule="auto"/>
        <w:rPr>
          <w:rFonts w:ascii="Times New Roman" w:hAnsi="Times New Roman"/>
          <w:sz w:val="24"/>
          <w:szCs w:val="24"/>
          <w:lang w:val="sv-SE"/>
        </w:rPr>
      </w:pPr>
      <w:r w:rsidRPr="00522A10">
        <w:rPr>
          <w:rFonts w:ascii="Times New Roman" w:hAnsi="Times New Roman"/>
          <w:sz w:val="24"/>
          <w:szCs w:val="24"/>
          <w:lang w:val="sv-SE"/>
        </w:rPr>
        <w:t xml:space="preserve">Anton, Purnama, I., &amp; Sunaryo, J. (2021). Analisis pengaruh CAR, BOPO, LDR, dan NIM terhadap ROA bank yang terdaftar di BEI tahun 2015–2019. </w:t>
      </w:r>
      <w:r w:rsidRPr="00522A10">
        <w:rPr>
          <w:rFonts w:ascii="Times New Roman" w:hAnsi="Times New Roman"/>
          <w:i/>
          <w:iCs/>
          <w:sz w:val="24"/>
          <w:szCs w:val="24"/>
          <w:lang w:val="sv-SE"/>
        </w:rPr>
        <w:t>Jurnal BANSI (Bisnis, Manajemen dan Akuntansi)</w:t>
      </w:r>
      <w:r w:rsidRPr="00522A10">
        <w:rPr>
          <w:rFonts w:ascii="Times New Roman" w:hAnsi="Times New Roman"/>
          <w:sz w:val="24"/>
          <w:szCs w:val="24"/>
          <w:lang w:val="sv-SE"/>
        </w:rPr>
        <w:t xml:space="preserve">, </w:t>
      </w:r>
      <w:r w:rsidRPr="00522A10">
        <w:rPr>
          <w:rFonts w:ascii="Times New Roman" w:hAnsi="Times New Roman"/>
          <w:i/>
          <w:iCs/>
          <w:sz w:val="24"/>
          <w:szCs w:val="24"/>
          <w:lang w:val="sv-SE"/>
        </w:rPr>
        <w:t>1</w:t>
      </w:r>
      <w:r w:rsidRPr="00522A10">
        <w:rPr>
          <w:rFonts w:ascii="Times New Roman" w:hAnsi="Times New Roman"/>
          <w:sz w:val="24"/>
          <w:szCs w:val="24"/>
          <w:lang w:val="sv-SE"/>
        </w:rPr>
        <w:t>(1), 60–75.</w:t>
      </w:r>
    </w:p>
    <w:p w14:paraId="2F9CEB11" w14:textId="77777777" w:rsidR="00CF4081" w:rsidRPr="00522A10" w:rsidRDefault="00000000">
      <w:pPr>
        <w:pStyle w:val="34-Saintis-References-content"/>
        <w:spacing w:after="0" w:line="360" w:lineRule="auto"/>
        <w:rPr>
          <w:rFonts w:ascii="Times New Roman" w:hAnsi="Times New Roman"/>
          <w:sz w:val="24"/>
          <w:szCs w:val="24"/>
          <w:lang w:val="sv-SE"/>
        </w:rPr>
      </w:pPr>
      <w:r w:rsidRPr="00522A10">
        <w:rPr>
          <w:rFonts w:ascii="Times New Roman" w:hAnsi="Times New Roman"/>
          <w:sz w:val="24"/>
          <w:szCs w:val="24"/>
          <w:lang w:val="sv-SE"/>
        </w:rPr>
        <w:t xml:space="preserve">Bisnis.com. (2024, 18 Maret). </w:t>
      </w:r>
      <w:r w:rsidRPr="00522A10">
        <w:rPr>
          <w:rFonts w:ascii="Times New Roman" w:hAnsi="Times New Roman"/>
          <w:i/>
          <w:iCs/>
          <w:sz w:val="24"/>
          <w:szCs w:val="24"/>
          <w:lang w:val="sv-SE"/>
        </w:rPr>
        <w:t>Bank Nagari bukukan laba Rp523,77 miliar pada 2023</w:t>
      </w:r>
      <w:r w:rsidRPr="00522A10">
        <w:rPr>
          <w:rFonts w:ascii="Times New Roman" w:hAnsi="Times New Roman"/>
          <w:sz w:val="24"/>
          <w:szCs w:val="24"/>
          <w:lang w:val="sv-SE"/>
        </w:rPr>
        <w:t>. https://finansial.bisnis.com/read/20240318/90/1750221/bank-nagari-bukukan-laba-rp52377-miliar-pada-2023</w:t>
      </w:r>
    </w:p>
    <w:p w14:paraId="31F2C278" w14:textId="77777777" w:rsidR="00CF4081" w:rsidRDefault="00000000">
      <w:pPr>
        <w:pStyle w:val="34-Saintis-References-content"/>
        <w:spacing w:after="0" w:line="360" w:lineRule="auto"/>
        <w:rPr>
          <w:rFonts w:ascii="Times New Roman" w:hAnsi="Times New Roman"/>
          <w:sz w:val="24"/>
          <w:szCs w:val="24"/>
        </w:rPr>
      </w:pPr>
      <w:r>
        <w:rPr>
          <w:rFonts w:ascii="Times New Roman" w:hAnsi="Times New Roman"/>
          <w:sz w:val="24"/>
          <w:szCs w:val="24"/>
        </w:rPr>
        <w:t xml:space="preserve">Brigham, E. F., &amp; Houston, J. F. (2017). </w:t>
      </w:r>
      <w:r>
        <w:rPr>
          <w:rFonts w:ascii="Times New Roman" w:hAnsi="Times New Roman"/>
          <w:i/>
          <w:iCs/>
          <w:sz w:val="24"/>
          <w:szCs w:val="24"/>
        </w:rPr>
        <w:t>Fundamentals of financial management</w:t>
      </w:r>
      <w:r>
        <w:rPr>
          <w:rFonts w:ascii="Times New Roman" w:hAnsi="Times New Roman"/>
          <w:sz w:val="24"/>
          <w:szCs w:val="24"/>
        </w:rPr>
        <w:t xml:space="preserve"> (14th ed.). Cengage Learning.</w:t>
      </w:r>
    </w:p>
    <w:p w14:paraId="491B4086" w14:textId="77777777" w:rsidR="00CF4081" w:rsidRDefault="00000000">
      <w:pPr>
        <w:pStyle w:val="34-Saintis-References-content"/>
        <w:spacing w:after="0" w:line="360" w:lineRule="auto"/>
        <w:rPr>
          <w:rFonts w:ascii="Times New Roman" w:hAnsi="Times New Roman"/>
          <w:sz w:val="24"/>
          <w:szCs w:val="24"/>
        </w:rPr>
      </w:pPr>
      <w:r>
        <w:rPr>
          <w:rFonts w:ascii="Times New Roman" w:hAnsi="Times New Roman"/>
          <w:sz w:val="24"/>
          <w:szCs w:val="24"/>
        </w:rPr>
        <w:t xml:space="preserve">Dendawijaya, L. (2003). </w:t>
      </w:r>
      <w:r>
        <w:rPr>
          <w:rFonts w:ascii="Times New Roman" w:hAnsi="Times New Roman"/>
          <w:i/>
          <w:iCs/>
          <w:sz w:val="24"/>
          <w:szCs w:val="24"/>
        </w:rPr>
        <w:t>Manajemen perbankan</w:t>
      </w:r>
      <w:r>
        <w:rPr>
          <w:rFonts w:ascii="Times New Roman" w:hAnsi="Times New Roman"/>
          <w:sz w:val="24"/>
          <w:szCs w:val="24"/>
        </w:rPr>
        <w:t>. Ghalia Indonesia.</w:t>
      </w:r>
    </w:p>
    <w:p w14:paraId="358720BC" w14:textId="77777777" w:rsidR="00CF4081" w:rsidRDefault="00000000">
      <w:pPr>
        <w:pStyle w:val="34-Saintis-References-content"/>
        <w:spacing w:after="0" w:line="360" w:lineRule="auto"/>
        <w:rPr>
          <w:rFonts w:ascii="Times New Roman" w:hAnsi="Times New Roman"/>
          <w:sz w:val="24"/>
          <w:szCs w:val="24"/>
        </w:rPr>
      </w:pPr>
      <w:r>
        <w:rPr>
          <w:rFonts w:ascii="Times New Roman" w:hAnsi="Times New Roman"/>
          <w:sz w:val="24"/>
          <w:szCs w:val="24"/>
        </w:rPr>
        <w:t xml:space="preserve">Dewi, N., &amp; Ghalib, S. (2024). Pengaruh capital adequacy ratio (CAR) dan net interest margin (NIM) terhadap return on asset (ROA) dan non performing loan (NPL) sebagai variabel intervening pada PT Bank Pembangunan Daerah Kalimantan Selatan. </w:t>
      </w:r>
      <w:r>
        <w:rPr>
          <w:rFonts w:ascii="Times New Roman" w:hAnsi="Times New Roman"/>
          <w:i/>
          <w:iCs/>
          <w:sz w:val="24"/>
          <w:szCs w:val="24"/>
        </w:rPr>
        <w:t>Jurnal Bisnis dan Pembangunan</w:t>
      </w:r>
      <w:r>
        <w:rPr>
          <w:rFonts w:ascii="Times New Roman" w:hAnsi="Times New Roman"/>
          <w:sz w:val="24"/>
          <w:szCs w:val="24"/>
        </w:rPr>
        <w:t xml:space="preserve">, </w:t>
      </w:r>
      <w:r>
        <w:rPr>
          <w:rFonts w:ascii="Times New Roman" w:hAnsi="Times New Roman"/>
          <w:i/>
          <w:iCs/>
          <w:sz w:val="24"/>
          <w:szCs w:val="24"/>
        </w:rPr>
        <w:t>13</w:t>
      </w:r>
      <w:r>
        <w:rPr>
          <w:rFonts w:ascii="Times New Roman" w:hAnsi="Times New Roman"/>
          <w:sz w:val="24"/>
          <w:szCs w:val="24"/>
        </w:rPr>
        <w:t>, 35–48.</w:t>
      </w:r>
    </w:p>
    <w:p w14:paraId="1BFF8DC9" w14:textId="77777777" w:rsidR="00CF4081" w:rsidRDefault="00000000">
      <w:pPr>
        <w:pStyle w:val="34-Saintis-References-content"/>
        <w:spacing w:after="0" w:line="360" w:lineRule="auto"/>
        <w:rPr>
          <w:rFonts w:ascii="Times New Roman" w:hAnsi="Times New Roman"/>
          <w:sz w:val="24"/>
          <w:szCs w:val="24"/>
        </w:rPr>
      </w:pPr>
      <w:r>
        <w:rPr>
          <w:rFonts w:ascii="Times New Roman" w:hAnsi="Times New Roman"/>
          <w:sz w:val="24"/>
          <w:szCs w:val="24"/>
        </w:rPr>
        <w:t xml:space="preserve">Ferly, M. M., Rinofah, R., &amp; Kusumawardhani, R. (2023). Analisis pengaruh CAR dan BOPO terhadap ROA dengan NIM sebagai variabel intervening pada PT Bank Pembangunan Daerah Kalimantan periode tahun 2011–2021. </w:t>
      </w:r>
      <w:r>
        <w:rPr>
          <w:rFonts w:ascii="Times New Roman" w:hAnsi="Times New Roman"/>
          <w:i/>
          <w:iCs/>
          <w:sz w:val="24"/>
          <w:szCs w:val="24"/>
        </w:rPr>
        <w:t>Jurnal Ekombis Review: Jurnal Ilmiah Ekonomi dan Bisnis</w:t>
      </w:r>
      <w:r>
        <w:rPr>
          <w:rFonts w:ascii="Times New Roman" w:hAnsi="Times New Roman"/>
          <w:sz w:val="24"/>
          <w:szCs w:val="24"/>
        </w:rPr>
        <w:t xml:space="preserve">, </w:t>
      </w:r>
      <w:r>
        <w:rPr>
          <w:rFonts w:ascii="Times New Roman" w:hAnsi="Times New Roman"/>
          <w:i/>
          <w:iCs/>
          <w:sz w:val="24"/>
          <w:szCs w:val="24"/>
        </w:rPr>
        <w:t>11</w:t>
      </w:r>
      <w:r>
        <w:rPr>
          <w:rFonts w:ascii="Times New Roman" w:hAnsi="Times New Roman"/>
          <w:sz w:val="24"/>
          <w:szCs w:val="24"/>
        </w:rPr>
        <w:t>(2), 1207–1220.</w:t>
      </w:r>
    </w:p>
    <w:p w14:paraId="35EF286B" w14:textId="77777777" w:rsidR="00CF4081" w:rsidRDefault="00000000">
      <w:pPr>
        <w:pStyle w:val="34-Saintis-References-content"/>
        <w:spacing w:after="0" w:line="360" w:lineRule="auto"/>
        <w:rPr>
          <w:rFonts w:ascii="Times New Roman" w:hAnsi="Times New Roman"/>
          <w:sz w:val="24"/>
          <w:szCs w:val="24"/>
        </w:rPr>
      </w:pPr>
      <w:r>
        <w:rPr>
          <w:rFonts w:ascii="Times New Roman" w:hAnsi="Times New Roman"/>
          <w:sz w:val="24"/>
          <w:szCs w:val="24"/>
        </w:rPr>
        <w:t xml:space="preserve">Hidayat, R., Lubis, F. R. A., &amp; Salim, A. (2022). Analisis rasio NIM, BOPO, NPL dan LDR terhadap ROA Bank Rakyat Indonesia. </w:t>
      </w:r>
      <w:r>
        <w:rPr>
          <w:rFonts w:ascii="Times New Roman" w:hAnsi="Times New Roman"/>
          <w:i/>
          <w:iCs/>
          <w:sz w:val="24"/>
          <w:szCs w:val="24"/>
        </w:rPr>
        <w:t>Jurnal Simki Economic</w:t>
      </w:r>
      <w:r>
        <w:rPr>
          <w:rFonts w:ascii="Times New Roman" w:hAnsi="Times New Roman"/>
          <w:sz w:val="24"/>
          <w:szCs w:val="24"/>
        </w:rPr>
        <w:t xml:space="preserve">, </w:t>
      </w:r>
      <w:r>
        <w:rPr>
          <w:rFonts w:ascii="Times New Roman" w:hAnsi="Times New Roman"/>
          <w:i/>
          <w:iCs/>
          <w:sz w:val="24"/>
          <w:szCs w:val="24"/>
        </w:rPr>
        <w:t>5</w:t>
      </w:r>
      <w:r>
        <w:rPr>
          <w:rFonts w:ascii="Times New Roman" w:hAnsi="Times New Roman"/>
          <w:sz w:val="24"/>
          <w:szCs w:val="24"/>
        </w:rPr>
        <w:t>(1), 39–49.</w:t>
      </w:r>
    </w:p>
    <w:p w14:paraId="32EE66E4" w14:textId="77777777" w:rsidR="00CF4081" w:rsidRPr="00522A10" w:rsidRDefault="00000000">
      <w:pPr>
        <w:pStyle w:val="34-Saintis-References-content"/>
        <w:spacing w:after="0" w:line="360" w:lineRule="auto"/>
        <w:rPr>
          <w:rFonts w:ascii="Times New Roman" w:hAnsi="Times New Roman"/>
          <w:sz w:val="24"/>
          <w:szCs w:val="24"/>
          <w:lang w:val="sv-SE"/>
        </w:rPr>
      </w:pPr>
      <w:r>
        <w:rPr>
          <w:rFonts w:ascii="Times New Roman" w:hAnsi="Times New Roman"/>
          <w:sz w:val="24"/>
          <w:szCs w:val="24"/>
        </w:rPr>
        <w:t xml:space="preserve">Iklimah, N., Huda, N., &amp; Rimawan, M. (2025). Analisis pengaruh net interest margin (NIM) dan biaya operasional dan pendapatan operasional (BOPO) terhadap return on equity (ROE) pada PT Bank Permata, Tbk. </w:t>
      </w:r>
      <w:r w:rsidRPr="00522A10">
        <w:rPr>
          <w:rFonts w:ascii="Times New Roman" w:hAnsi="Times New Roman"/>
          <w:i/>
          <w:iCs/>
          <w:sz w:val="24"/>
          <w:szCs w:val="24"/>
          <w:lang w:val="sv-SE"/>
        </w:rPr>
        <w:t>Jurnal Ekonomi Bisnis dan Kewirausahaan</w:t>
      </w:r>
      <w:r w:rsidRPr="00522A10">
        <w:rPr>
          <w:rFonts w:ascii="Times New Roman" w:hAnsi="Times New Roman"/>
          <w:sz w:val="24"/>
          <w:szCs w:val="24"/>
          <w:lang w:val="sv-SE"/>
        </w:rPr>
        <w:t xml:space="preserve">, </w:t>
      </w:r>
      <w:r w:rsidRPr="00522A10">
        <w:rPr>
          <w:rFonts w:ascii="Times New Roman" w:hAnsi="Times New Roman"/>
          <w:i/>
          <w:iCs/>
          <w:sz w:val="24"/>
          <w:szCs w:val="24"/>
          <w:lang w:val="sv-SE"/>
        </w:rPr>
        <w:t>2</w:t>
      </w:r>
      <w:r w:rsidRPr="00522A10">
        <w:rPr>
          <w:rFonts w:ascii="Times New Roman" w:hAnsi="Times New Roman"/>
          <w:sz w:val="24"/>
          <w:szCs w:val="24"/>
          <w:lang w:val="sv-SE"/>
        </w:rPr>
        <w:t>(4), 92–102. https://doi.org/10.69714/hstnvz14</w:t>
      </w:r>
    </w:p>
    <w:p w14:paraId="7EEE0062" w14:textId="77777777" w:rsidR="00CF4081" w:rsidRPr="00522A10" w:rsidRDefault="00000000">
      <w:pPr>
        <w:pStyle w:val="34-Saintis-References-content"/>
        <w:spacing w:after="0" w:line="360" w:lineRule="auto"/>
        <w:rPr>
          <w:rFonts w:ascii="Times New Roman" w:hAnsi="Times New Roman"/>
          <w:sz w:val="24"/>
          <w:szCs w:val="24"/>
          <w:lang w:val="sv-SE"/>
        </w:rPr>
      </w:pPr>
      <w:r w:rsidRPr="00522A10">
        <w:rPr>
          <w:rFonts w:ascii="Times New Roman" w:hAnsi="Times New Roman"/>
          <w:sz w:val="24"/>
          <w:szCs w:val="24"/>
          <w:lang w:val="sv-SE"/>
        </w:rPr>
        <w:t xml:space="preserve">Iklin, M. (2024). Pengaruh CAR, NPL, BOPO dan LDR terhadap return on assets pada Bank Pembangunan Daerah: Studi empiris pada PT BPD se-Pulau Jawa periode tahun 2005–2021. </w:t>
      </w:r>
      <w:r w:rsidRPr="00522A10">
        <w:rPr>
          <w:rFonts w:ascii="Times New Roman" w:hAnsi="Times New Roman"/>
          <w:i/>
          <w:iCs/>
          <w:sz w:val="24"/>
          <w:szCs w:val="24"/>
          <w:lang w:val="sv-SE"/>
        </w:rPr>
        <w:t>Al-Kharaj: Jurnal Ekonomi, Keuangan &amp; Bisnis Syariah</w:t>
      </w:r>
      <w:r w:rsidRPr="00522A10">
        <w:rPr>
          <w:rFonts w:ascii="Times New Roman" w:hAnsi="Times New Roman"/>
          <w:sz w:val="24"/>
          <w:szCs w:val="24"/>
          <w:lang w:val="sv-SE"/>
        </w:rPr>
        <w:t xml:space="preserve">, </w:t>
      </w:r>
      <w:r w:rsidRPr="00522A10">
        <w:rPr>
          <w:rFonts w:ascii="Times New Roman" w:hAnsi="Times New Roman"/>
          <w:i/>
          <w:iCs/>
          <w:sz w:val="24"/>
          <w:szCs w:val="24"/>
          <w:lang w:val="sv-SE"/>
        </w:rPr>
        <w:t>6</w:t>
      </w:r>
      <w:r w:rsidRPr="00522A10">
        <w:rPr>
          <w:rFonts w:ascii="Times New Roman" w:hAnsi="Times New Roman"/>
          <w:sz w:val="24"/>
          <w:szCs w:val="24"/>
          <w:lang w:val="sv-SE"/>
        </w:rPr>
        <w:t>(1), 360–379. https://doi.org/10.47467/alkharaj.v6i1.2689</w:t>
      </w:r>
    </w:p>
    <w:p w14:paraId="0B919B5A" w14:textId="77777777" w:rsidR="00CF4081" w:rsidRPr="00522A10" w:rsidRDefault="00000000">
      <w:pPr>
        <w:pStyle w:val="34-Saintis-References-content"/>
        <w:spacing w:after="0" w:line="360" w:lineRule="auto"/>
        <w:rPr>
          <w:rFonts w:ascii="Times New Roman" w:hAnsi="Times New Roman"/>
          <w:sz w:val="24"/>
          <w:szCs w:val="24"/>
          <w:lang w:val="sv-SE"/>
        </w:rPr>
      </w:pPr>
      <w:r w:rsidRPr="00522A10">
        <w:rPr>
          <w:rFonts w:ascii="Times New Roman" w:hAnsi="Times New Roman"/>
          <w:sz w:val="24"/>
          <w:szCs w:val="24"/>
          <w:lang w:val="sv-SE"/>
        </w:rPr>
        <w:t xml:space="preserve">InfobankNews. (2025). </w:t>
      </w:r>
      <w:r w:rsidRPr="00522A10">
        <w:rPr>
          <w:rFonts w:ascii="Times New Roman" w:hAnsi="Times New Roman"/>
          <w:i/>
          <w:iCs/>
          <w:sz w:val="24"/>
          <w:szCs w:val="24"/>
          <w:lang w:val="sv-SE"/>
        </w:rPr>
        <w:t>Laba Bank Nagari tumbuh 2,73 persen jadi Rp538,07 miliar di 2024</w:t>
      </w:r>
      <w:r w:rsidRPr="00522A10">
        <w:rPr>
          <w:rFonts w:ascii="Times New Roman" w:hAnsi="Times New Roman"/>
          <w:sz w:val="24"/>
          <w:szCs w:val="24"/>
          <w:lang w:val="sv-SE"/>
        </w:rPr>
        <w:t>. https://infobanknews.com/laba-bank-nagari-tumbuh-273-persen-jadi-rp53807-miliar-di-2024/</w:t>
      </w:r>
    </w:p>
    <w:p w14:paraId="6C0186F6" w14:textId="77777777" w:rsidR="00CF4081" w:rsidRPr="00522A10" w:rsidRDefault="00000000">
      <w:pPr>
        <w:pStyle w:val="34-Saintis-References-content"/>
        <w:spacing w:after="0" w:line="360" w:lineRule="auto"/>
        <w:rPr>
          <w:rFonts w:ascii="Times New Roman" w:hAnsi="Times New Roman"/>
          <w:sz w:val="24"/>
          <w:szCs w:val="24"/>
          <w:lang w:val="sv-SE"/>
        </w:rPr>
      </w:pPr>
      <w:r w:rsidRPr="00522A10">
        <w:rPr>
          <w:rFonts w:ascii="Times New Roman" w:hAnsi="Times New Roman"/>
          <w:sz w:val="24"/>
          <w:szCs w:val="24"/>
          <w:lang w:val="sv-SE"/>
        </w:rPr>
        <w:t xml:space="preserve">InfobankNews. (2026). </w:t>
      </w:r>
      <w:r w:rsidRPr="00522A10">
        <w:rPr>
          <w:rFonts w:ascii="Times New Roman" w:hAnsi="Times New Roman"/>
          <w:i/>
          <w:iCs/>
          <w:sz w:val="24"/>
          <w:szCs w:val="24"/>
          <w:lang w:val="sv-SE"/>
        </w:rPr>
        <w:t>Bank Nagari cetak laba Rp243,66 miliar di Juni 2026, naik 5,22 persen</w:t>
      </w:r>
      <w:r w:rsidRPr="00522A10">
        <w:rPr>
          <w:rFonts w:ascii="Times New Roman" w:hAnsi="Times New Roman"/>
          <w:sz w:val="24"/>
          <w:szCs w:val="24"/>
          <w:lang w:val="sv-SE"/>
        </w:rPr>
        <w:t>. https://infobanknews.com/bank-nagari-cetak-laba-rp24366-miliar-di-juni-2026-naik-522-persen</w:t>
      </w:r>
    </w:p>
    <w:p w14:paraId="11A37F36" w14:textId="77777777" w:rsidR="00CF4081" w:rsidRPr="00522A10" w:rsidRDefault="00000000">
      <w:pPr>
        <w:pStyle w:val="34-Saintis-References-content"/>
        <w:spacing w:after="0" w:line="360" w:lineRule="auto"/>
        <w:rPr>
          <w:rFonts w:ascii="Times New Roman" w:hAnsi="Times New Roman"/>
          <w:sz w:val="24"/>
          <w:szCs w:val="24"/>
          <w:lang w:val="sv-SE"/>
        </w:rPr>
      </w:pPr>
      <w:r w:rsidRPr="00522A10">
        <w:rPr>
          <w:rFonts w:ascii="Times New Roman" w:hAnsi="Times New Roman"/>
          <w:sz w:val="24"/>
          <w:szCs w:val="24"/>
          <w:lang w:val="sv-SE"/>
        </w:rPr>
        <w:t xml:space="preserve">Kasmir. (2014). </w:t>
      </w:r>
      <w:r w:rsidRPr="00522A10">
        <w:rPr>
          <w:rFonts w:ascii="Times New Roman" w:hAnsi="Times New Roman"/>
          <w:i/>
          <w:iCs/>
          <w:sz w:val="24"/>
          <w:szCs w:val="24"/>
          <w:lang w:val="sv-SE"/>
        </w:rPr>
        <w:t>Bank dan lembaga keuangan lainnya</w:t>
      </w:r>
      <w:r w:rsidRPr="00522A10">
        <w:rPr>
          <w:rFonts w:ascii="Times New Roman" w:hAnsi="Times New Roman"/>
          <w:sz w:val="24"/>
          <w:szCs w:val="24"/>
          <w:lang w:val="sv-SE"/>
        </w:rPr>
        <w:t>. PT RajaGrafindo Persada.</w:t>
      </w:r>
    </w:p>
    <w:p w14:paraId="4853E733" w14:textId="77777777" w:rsidR="00CF4081" w:rsidRPr="00522A10" w:rsidRDefault="00000000">
      <w:pPr>
        <w:pStyle w:val="34-Saintis-References-content"/>
        <w:spacing w:after="0" w:line="360" w:lineRule="auto"/>
        <w:rPr>
          <w:rFonts w:ascii="Times New Roman" w:hAnsi="Times New Roman"/>
          <w:sz w:val="24"/>
          <w:szCs w:val="24"/>
          <w:lang w:val="sv-SE"/>
        </w:rPr>
      </w:pPr>
      <w:r w:rsidRPr="00522A10">
        <w:rPr>
          <w:rFonts w:ascii="Times New Roman" w:hAnsi="Times New Roman"/>
          <w:sz w:val="24"/>
          <w:szCs w:val="24"/>
          <w:lang w:val="sv-SE"/>
        </w:rPr>
        <w:t xml:space="preserve">Khabibah, N. A., Octisari, S. K., &amp; Nugraheni, A. P. (2020). CASA, NIM, dan profitabilitas perbankan di Indonesia. </w:t>
      </w:r>
      <w:r w:rsidRPr="00522A10">
        <w:rPr>
          <w:rFonts w:ascii="Times New Roman" w:hAnsi="Times New Roman"/>
          <w:i/>
          <w:iCs/>
          <w:sz w:val="24"/>
          <w:szCs w:val="24"/>
          <w:lang w:val="sv-SE"/>
        </w:rPr>
        <w:t>Jurnal Aplikasi Akuntansi</w:t>
      </w:r>
      <w:r w:rsidRPr="00522A10">
        <w:rPr>
          <w:rFonts w:ascii="Times New Roman" w:hAnsi="Times New Roman"/>
          <w:sz w:val="24"/>
          <w:szCs w:val="24"/>
          <w:lang w:val="sv-SE"/>
        </w:rPr>
        <w:t xml:space="preserve">, </w:t>
      </w:r>
      <w:r w:rsidRPr="00522A10">
        <w:rPr>
          <w:rFonts w:ascii="Times New Roman" w:hAnsi="Times New Roman"/>
          <w:i/>
          <w:iCs/>
          <w:sz w:val="24"/>
          <w:szCs w:val="24"/>
          <w:lang w:val="sv-SE"/>
        </w:rPr>
        <w:t>5</w:t>
      </w:r>
      <w:r w:rsidRPr="00522A10">
        <w:rPr>
          <w:rFonts w:ascii="Times New Roman" w:hAnsi="Times New Roman"/>
          <w:sz w:val="24"/>
          <w:szCs w:val="24"/>
          <w:lang w:val="sv-SE"/>
        </w:rPr>
        <w:t>(1), 52–71.</w:t>
      </w:r>
    </w:p>
    <w:p w14:paraId="55D96C4A" w14:textId="77777777" w:rsidR="00CF4081" w:rsidRPr="00522A10" w:rsidRDefault="00000000">
      <w:pPr>
        <w:pStyle w:val="34-Saintis-References-content"/>
        <w:spacing w:after="0" w:line="360" w:lineRule="auto"/>
        <w:rPr>
          <w:rFonts w:ascii="Times New Roman" w:hAnsi="Times New Roman"/>
          <w:sz w:val="24"/>
          <w:szCs w:val="24"/>
          <w:lang w:val="sv-SE"/>
        </w:rPr>
      </w:pPr>
      <w:r w:rsidRPr="00522A10">
        <w:rPr>
          <w:rFonts w:ascii="Times New Roman" w:hAnsi="Times New Roman"/>
          <w:sz w:val="24"/>
          <w:szCs w:val="24"/>
          <w:lang w:val="sv-SE"/>
        </w:rPr>
        <w:t xml:space="preserve">Kontan. (2022, 24 Januari). </w:t>
      </w:r>
      <w:r w:rsidRPr="00522A10">
        <w:rPr>
          <w:rFonts w:ascii="Times New Roman" w:hAnsi="Times New Roman"/>
          <w:i/>
          <w:iCs/>
          <w:sz w:val="24"/>
          <w:szCs w:val="24"/>
          <w:lang w:val="sv-SE"/>
        </w:rPr>
        <w:t>Bank Nagari cetak laba Rp 416,29 miliar pada tahun 2021</w:t>
      </w:r>
      <w:r w:rsidRPr="00522A10">
        <w:rPr>
          <w:rFonts w:ascii="Times New Roman" w:hAnsi="Times New Roman"/>
          <w:sz w:val="24"/>
          <w:szCs w:val="24"/>
          <w:lang w:val="sv-SE"/>
        </w:rPr>
        <w:t>. https://keuangan.kontan.co.id/news/bank-nagari-cetak-laba-rp-41629-miliar-pada-tahun-2021</w:t>
      </w:r>
    </w:p>
    <w:p w14:paraId="111C27C8" w14:textId="77777777" w:rsidR="00CF4081" w:rsidRPr="00522A10" w:rsidRDefault="00000000">
      <w:pPr>
        <w:pStyle w:val="34-Saintis-References-content"/>
        <w:spacing w:after="0" w:line="360" w:lineRule="auto"/>
        <w:rPr>
          <w:rFonts w:ascii="Times New Roman" w:hAnsi="Times New Roman"/>
          <w:sz w:val="24"/>
          <w:szCs w:val="24"/>
          <w:lang w:val="sv-SE"/>
        </w:rPr>
      </w:pPr>
      <w:r w:rsidRPr="00522A10">
        <w:rPr>
          <w:rFonts w:ascii="Times New Roman" w:hAnsi="Times New Roman"/>
          <w:sz w:val="24"/>
          <w:szCs w:val="24"/>
          <w:lang w:val="sv-SE"/>
        </w:rPr>
        <w:t xml:space="preserve">Manalu, T. Y., Irwansyah, D. P., Dawai, E., Nabila, A., Aulia, F., &amp; Sumantri, F. (2025). Pengaruh CAR, NIM, BOPO terhadap ROA pada PT Bank Rakyat Indonesia Tbk periode 2005–2024. </w:t>
      </w:r>
      <w:r w:rsidRPr="00522A10">
        <w:rPr>
          <w:rFonts w:ascii="Times New Roman" w:hAnsi="Times New Roman"/>
          <w:i/>
          <w:iCs/>
          <w:sz w:val="24"/>
          <w:szCs w:val="24"/>
          <w:lang w:val="sv-SE"/>
        </w:rPr>
        <w:t>Jurnal Bisnis dan Akuntansi Unsurya</w:t>
      </w:r>
      <w:r w:rsidRPr="00522A10">
        <w:rPr>
          <w:rFonts w:ascii="Times New Roman" w:hAnsi="Times New Roman"/>
          <w:sz w:val="24"/>
          <w:szCs w:val="24"/>
          <w:lang w:val="sv-SE"/>
        </w:rPr>
        <w:t xml:space="preserve">, </w:t>
      </w:r>
      <w:r w:rsidRPr="00522A10">
        <w:rPr>
          <w:rFonts w:ascii="Times New Roman" w:hAnsi="Times New Roman"/>
          <w:i/>
          <w:iCs/>
          <w:sz w:val="24"/>
          <w:szCs w:val="24"/>
          <w:lang w:val="sv-SE"/>
        </w:rPr>
        <w:t>10</w:t>
      </w:r>
      <w:r w:rsidRPr="00522A10">
        <w:rPr>
          <w:rFonts w:ascii="Times New Roman" w:hAnsi="Times New Roman"/>
          <w:sz w:val="24"/>
          <w:szCs w:val="24"/>
          <w:lang w:val="sv-SE"/>
        </w:rPr>
        <w:t>(2), 175–189.</w:t>
      </w:r>
    </w:p>
    <w:p w14:paraId="002ECF6B" w14:textId="77777777" w:rsidR="00CF4081" w:rsidRPr="00522A10" w:rsidRDefault="00000000">
      <w:pPr>
        <w:pStyle w:val="34-Saintis-References-content"/>
        <w:spacing w:after="0" w:line="360" w:lineRule="auto"/>
        <w:rPr>
          <w:rFonts w:ascii="Times New Roman" w:hAnsi="Times New Roman"/>
          <w:sz w:val="24"/>
          <w:szCs w:val="24"/>
          <w:lang w:val="sv-SE"/>
        </w:rPr>
      </w:pPr>
      <w:r w:rsidRPr="00522A10">
        <w:rPr>
          <w:rFonts w:ascii="Times New Roman" w:hAnsi="Times New Roman"/>
          <w:sz w:val="24"/>
          <w:szCs w:val="24"/>
          <w:lang w:val="sv-SE"/>
        </w:rPr>
        <w:t xml:space="preserve">Nurmavita, D. A. D., Wiguna, A. A., Husain, M. S. I., &amp; Alfiana. (2025). Pengaruh biaya operasional terhadap pendapatan operasional (BOPO) dan net interest margin (NIM) terhadap return on asset (ROA). </w:t>
      </w:r>
      <w:r w:rsidRPr="00522A10">
        <w:rPr>
          <w:rFonts w:ascii="Times New Roman" w:hAnsi="Times New Roman"/>
          <w:i/>
          <w:iCs/>
          <w:sz w:val="24"/>
          <w:szCs w:val="24"/>
          <w:lang w:val="sv-SE"/>
        </w:rPr>
        <w:t>Jejak Digital: Jurnal Ilmiah Multidisiplin</w:t>
      </w:r>
      <w:r w:rsidRPr="00522A10">
        <w:rPr>
          <w:rFonts w:ascii="Times New Roman" w:hAnsi="Times New Roman"/>
          <w:sz w:val="24"/>
          <w:szCs w:val="24"/>
          <w:lang w:val="sv-SE"/>
        </w:rPr>
        <w:t xml:space="preserve">, </w:t>
      </w:r>
      <w:r w:rsidRPr="00522A10">
        <w:rPr>
          <w:rFonts w:ascii="Times New Roman" w:hAnsi="Times New Roman"/>
          <w:i/>
          <w:iCs/>
          <w:sz w:val="24"/>
          <w:szCs w:val="24"/>
          <w:lang w:val="sv-SE"/>
        </w:rPr>
        <w:t>2</w:t>
      </w:r>
      <w:r w:rsidRPr="00522A10">
        <w:rPr>
          <w:rFonts w:ascii="Times New Roman" w:hAnsi="Times New Roman"/>
          <w:sz w:val="24"/>
          <w:szCs w:val="24"/>
          <w:lang w:val="sv-SE"/>
        </w:rPr>
        <w:t>(1), 1179–1180. https://doi.org/10.63822/1tt81a06</w:t>
      </w:r>
    </w:p>
    <w:p w14:paraId="1ED7F259" w14:textId="77777777" w:rsidR="00CF4081" w:rsidRPr="00522A10" w:rsidRDefault="00000000">
      <w:pPr>
        <w:pStyle w:val="34-Saintis-References-content"/>
        <w:spacing w:after="0" w:line="360" w:lineRule="auto"/>
        <w:rPr>
          <w:rFonts w:ascii="Times New Roman" w:hAnsi="Times New Roman"/>
          <w:sz w:val="24"/>
          <w:szCs w:val="24"/>
          <w:lang w:val="sv-SE"/>
        </w:rPr>
      </w:pPr>
      <w:r w:rsidRPr="00522A10">
        <w:rPr>
          <w:rFonts w:ascii="Times New Roman" w:hAnsi="Times New Roman"/>
          <w:sz w:val="24"/>
          <w:szCs w:val="24"/>
          <w:lang w:val="sv-SE"/>
        </w:rPr>
        <w:t xml:space="preserve">Padangkita.com. (2026, 2 Februari). </w:t>
      </w:r>
      <w:r w:rsidRPr="00522A10">
        <w:rPr>
          <w:rFonts w:ascii="Times New Roman" w:hAnsi="Times New Roman"/>
          <w:i/>
          <w:iCs/>
          <w:sz w:val="24"/>
          <w:szCs w:val="24"/>
          <w:lang w:val="sv-SE"/>
        </w:rPr>
        <w:t>Kinerja Bank Nagari 2025: Total aset meningkat jadi Rp33,61 T, usaha syariah menggembirakan</w:t>
      </w:r>
      <w:r w:rsidRPr="00522A10">
        <w:rPr>
          <w:rFonts w:ascii="Times New Roman" w:hAnsi="Times New Roman"/>
          <w:sz w:val="24"/>
          <w:szCs w:val="24"/>
          <w:lang w:val="sv-SE"/>
        </w:rPr>
        <w:t>. https://padangkita.com/kinerja-bank-nagari-2025-total-aset-meningkat-jadi-rp3361-t-usaha-syariah-menggembirakan/</w:t>
      </w:r>
    </w:p>
    <w:p w14:paraId="5D78F5D5" w14:textId="77777777" w:rsidR="00CF4081" w:rsidRPr="00522A10" w:rsidRDefault="00000000">
      <w:pPr>
        <w:pStyle w:val="34-Saintis-References-content"/>
        <w:spacing w:after="0" w:line="360" w:lineRule="auto"/>
        <w:rPr>
          <w:rFonts w:ascii="Times New Roman" w:hAnsi="Times New Roman"/>
          <w:sz w:val="24"/>
          <w:szCs w:val="24"/>
          <w:lang w:val="sv-SE"/>
        </w:rPr>
      </w:pPr>
      <w:r w:rsidRPr="00522A10">
        <w:rPr>
          <w:rFonts w:ascii="Times New Roman" w:hAnsi="Times New Roman"/>
          <w:sz w:val="24"/>
          <w:szCs w:val="24"/>
          <w:lang w:val="sv-SE"/>
        </w:rPr>
        <w:t xml:space="preserve">Ramadanti, F., &amp; Setyowati, E. (2022). Pengaruh NPL, LDR, BOPO dan NIM terhadap ROA pada PT Bank Mandiri (Persero) Tbk tahun 2013–2021. </w:t>
      </w:r>
      <w:r w:rsidRPr="00522A10">
        <w:rPr>
          <w:rFonts w:ascii="Times New Roman" w:hAnsi="Times New Roman"/>
          <w:i/>
          <w:iCs/>
          <w:sz w:val="24"/>
          <w:szCs w:val="24"/>
          <w:lang w:val="sv-SE"/>
        </w:rPr>
        <w:t>Ekombis Review: Jurnal Ilmiah Ekonomi dan Bisnis</w:t>
      </w:r>
      <w:r w:rsidRPr="00522A10">
        <w:rPr>
          <w:rFonts w:ascii="Times New Roman" w:hAnsi="Times New Roman"/>
          <w:sz w:val="24"/>
          <w:szCs w:val="24"/>
          <w:lang w:val="sv-SE"/>
        </w:rPr>
        <w:t xml:space="preserve">, </w:t>
      </w:r>
      <w:r w:rsidRPr="00522A10">
        <w:rPr>
          <w:rFonts w:ascii="Times New Roman" w:hAnsi="Times New Roman"/>
          <w:i/>
          <w:iCs/>
          <w:sz w:val="24"/>
          <w:szCs w:val="24"/>
          <w:lang w:val="sv-SE"/>
        </w:rPr>
        <w:t>10</w:t>
      </w:r>
      <w:r w:rsidRPr="00522A10">
        <w:rPr>
          <w:rFonts w:ascii="Times New Roman" w:hAnsi="Times New Roman"/>
          <w:sz w:val="24"/>
          <w:szCs w:val="24"/>
          <w:lang w:val="sv-SE"/>
        </w:rPr>
        <w:t>(2), 695–706.</w:t>
      </w:r>
    </w:p>
    <w:p w14:paraId="047BC8C5" w14:textId="77777777" w:rsidR="00CF4081" w:rsidRPr="00522A10" w:rsidRDefault="00000000">
      <w:pPr>
        <w:pStyle w:val="34-Saintis-References-content"/>
        <w:spacing w:after="0" w:line="360" w:lineRule="auto"/>
        <w:rPr>
          <w:rFonts w:ascii="Times New Roman" w:hAnsi="Times New Roman"/>
          <w:sz w:val="24"/>
          <w:szCs w:val="24"/>
          <w:lang w:val="sv-SE"/>
        </w:rPr>
      </w:pPr>
      <w:r w:rsidRPr="00522A10">
        <w:rPr>
          <w:rFonts w:ascii="Times New Roman" w:hAnsi="Times New Roman"/>
          <w:sz w:val="24"/>
          <w:szCs w:val="24"/>
          <w:lang w:val="sv-SE"/>
        </w:rPr>
        <w:t xml:space="preserve">Rosalina, T., Pratiwi, A., &amp; Munandar, A. (2025). </w:t>
      </w:r>
      <w:proofErr w:type="spellStart"/>
      <w:r>
        <w:rPr>
          <w:rFonts w:ascii="Times New Roman" w:hAnsi="Times New Roman"/>
          <w:sz w:val="24"/>
          <w:szCs w:val="24"/>
        </w:rPr>
        <w:t>Pengaruh</w:t>
      </w:r>
      <w:proofErr w:type="spellEnd"/>
      <w:r>
        <w:rPr>
          <w:rFonts w:ascii="Times New Roman" w:hAnsi="Times New Roman"/>
          <w:sz w:val="24"/>
          <w:szCs w:val="24"/>
        </w:rPr>
        <w:t xml:space="preserve"> price </w:t>
      </w:r>
      <w:proofErr w:type="spellStart"/>
      <w:r>
        <w:rPr>
          <w:rFonts w:ascii="Times New Roman" w:hAnsi="Times New Roman"/>
          <w:sz w:val="24"/>
          <w:szCs w:val="24"/>
        </w:rPr>
        <w:t>earning</w:t>
      </w:r>
      <w:proofErr w:type="spellEnd"/>
      <w:r>
        <w:rPr>
          <w:rFonts w:ascii="Times New Roman" w:hAnsi="Times New Roman"/>
          <w:sz w:val="24"/>
          <w:szCs w:val="24"/>
        </w:rPr>
        <w:t xml:space="preserve"> ratio (PER), net interest margin (NIM) dan earning per share (EPS) terhadap harga saham pada bank BUMN yang terdaftar di BEI. </w:t>
      </w:r>
      <w:r w:rsidRPr="00522A10">
        <w:rPr>
          <w:rFonts w:ascii="Times New Roman" w:hAnsi="Times New Roman"/>
          <w:i/>
          <w:iCs/>
          <w:sz w:val="24"/>
          <w:szCs w:val="24"/>
          <w:lang w:val="sv-SE"/>
        </w:rPr>
        <w:t>Jejak Digital: Jurnal Ilmiah Multidisiplin</w:t>
      </w:r>
      <w:r w:rsidRPr="00522A10">
        <w:rPr>
          <w:rFonts w:ascii="Times New Roman" w:hAnsi="Times New Roman"/>
          <w:sz w:val="24"/>
          <w:szCs w:val="24"/>
          <w:lang w:val="sv-SE"/>
        </w:rPr>
        <w:t xml:space="preserve">, </w:t>
      </w:r>
      <w:r w:rsidRPr="00522A10">
        <w:rPr>
          <w:rFonts w:ascii="Times New Roman" w:hAnsi="Times New Roman"/>
          <w:i/>
          <w:iCs/>
          <w:sz w:val="24"/>
          <w:szCs w:val="24"/>
          <w:lang w:val="sv-SE"/>
        </w:rPr>
        <w:t>1</w:t>
      </w:r>
      <w:r w:rsidRPr="00522A10">
        <w:rPr>
          <w:rFonts w:ascii="Times New Roman" w:hAnsi="Times New Roman"/>
          <w:sz w:val="24"/>
          <w:szCs w:val="24"/>
          <w:lang w:val="sv-SE"/>
        </w:rPr>
        <w:t>(5b), 3805–3815. https://doi.org/10.63822/j4hvrh46</w:t>
      </w:r>
    </w:p>
    <w:p w14:paraId="1BD1DF9F" w14:textId="77777777" w:rsidR="00CF4081" w:rsidRPr="00522A10" w:rsidRDefault="00000000">
      <w:pPr>
        <w:pStyle w:val="34-Saintis-References-content"/>
        <w:spacing w:after="0" w:line="360" w:lineRule="auto"/>
        <w:rPr>
          <w:rFonts w:ascii="Times New Roman" w:hAnsi="Times New Roman"/>
          <w:sz w:val="24"/>
          <w:szCs w:val="24"/>
          <w:lang w:val="sv-SE"/>
        </w:rPr>
      </w:pPr>
      <w:r w:rsidRPr="00522A10">
        <w:rPr>
          <w:rFonts w:ascii="Times New Roman" w:hAnsi="Times New Roman"/>
          <w:sz w:val="24"/>
          <w:szCs w:val="24"/>
          <w:lang w:val="sv-SE"/>
        </w:rPr>
        <w:t xml:space="preserve">Safitri, T. G., &amp; Khoiriah, N. (2026). Pengaruh net interest margin (NIM) dan biaya operasional pada pendapatan operasional (BOPO) terhadap harga saham pada bank BUMN yang terdaftar di BEI periode 2016–2024. </w:t>
      </w:r>
      <w:r w:rsidRPr="00522A10">
        <w:rPr>
          <w:rFonts w:ascii="Times New Roman" w:hAnsi="Times New Roman"/>
          <w:i/>
          <w:iCs/>
          <w:sz w:val="24"/>
          <w:szCs w:val="24"/>
          <w:lang w:val="sv-SE"/>
        </w:rPr>
        <w:t>Jurnal Ilmiah Ekonomi dan Manajemen</w:t>
      </w:r>
      <w:r w:rsidRPr="00522A10">
        <w:rPr>
          <w:rFonts w:ascii="Times New Roman" w:hAnsi="Times New Roman"/>
          <w:sz w:val="24"/>
          <w:szCs w:val="24"/>
          <w:lang w:val="sv-SE"/>
        </w:rPr>
        <w:t xml:space="preserve">, </w:t>
      </w:r>
      <w:r w:rsidRPr="00522A10">
        <w:rPr>
          <w:rFonts w:ascii="Times New Roman" w:hAnsi="Times New Roman"/>
          <w:i/>
          <w:iCs/>
          <w:sz w:val="24"/>
          <w:szCs w:val="24"/>
          <w:lang w:val="sv-SE"/>
        </w:rPr>
        <w:t>4</w:t>
      </w:r>
      <w:r w:rsidRPr="00522A10">
        <w:rPr>
          <w:rFonts w:ascii="Times New Roman" w:hAnsi="Times New Roman"/>
          <w:sz w:val="24"/>
          <w:szCs w:val="24"/>
          <w:lang w:val="sv-SE"/>
        </w:rPr>
        <w:t>(3), 790–804. https://doi.org/10.61722/jiem.v4i3.9160</w:t>
      </w:r>
    </w:p>
    <w:p w14:paraId="5D7C9720" w14:textId="77777777" w:rsidR="00CF4081" w:rsidRDefault="00000000">
      <w:pPr>
        <w:pStyle w:val="34-Saintis-References-content"/>
        <w:spacing w:after="0" w:line="360" w:lineRule="auto"/>
        <w:rPr>
          <w:rFonts w:ascii="Times New Roman" w:hAnsi="Times New Roman"/>
          <w:sz w:val="24"/>
          <w:szCs w:val="24"/>
        </w:rPr>
      </w:pPr>
      <w:r>
        <w:rPr>
          <w:rFonts w:ascii="Times New Roman" w:hAnsi="Times New Roman"/>
          <w:sz w:val="24"/>
          <w:szCs w:val="24"/>
        </w:rPr>
        <w:t xml:space="preserve">Spence, M. (1973). Job market signaling. </w:t>
      </w:r>
      <w:r>
        <w:rPr>
          <w:rFonts w:ascii="Times New Roman" w:hAnsi="Times New Roman"/>
          <w:i/>
          <w:iCs/>
          <w:sz w:val="24"/>
          <w:szCs w:val="24"/>
        </w:rPr>
        <w:t>The Quarterly Journal of Economics</w:t>
      </w:r>
      <w:r>
        <w:rPr>
          <w:rFonts w:ascii="Times New Roman" w:hAnsi="Times New Roman"/>
          <w:sz w:val="24"/>
          <w:szCs w:val="24"/>
        </w:rPr>
        <w:t xml:space="preserve">, </w:t>
      </w:r>
      <w:r>
        <w:rPr>
          <w:rFonts w:ascii="Times New Roman" w:hAnsi="Times New Roman"/>
          <w:i/>
          <w:iCs/>
          <w:sz w:val="24"/>
          <w:szCs w:val="24"/>
        </w:rPr>
        <w:t>87</w:t>
      </w:r>
      <w:r>
        <w:rPr>
          <w:rFonts w:ascii="Times New Roman" w:hAnsi="Times New Roman"/>
          <w:sz w:val="24"/>
          <w:szCs w:val="24"/>
        </w:rPr>
        <w:t>(3), 355–374.</w:t>
      </w:r>
    </w:p>
    <w:p w14:paraId="0FBE8197" w14:textId="77777777" w:rsidR="00CF4081" w:rsidRPr="00522A10" w:rsidRDefault="00000000">
      <w:pPr>
        <w:pStyle w:val="34-Saintis-References-content"/>
        <w:spacing w:after="0" w:line="360" w:lineRule="auto"/>
        <w:rPr>
          <w:rFonts w:ascii="Times New Roman" w:hAnsi="Times New Roman"/>
          <w:sz w:val="24"/>
          <w:szCs w:val="24"/>
          <w:lang w:val="sv-SE"/>
        </w:rPr>
      </w:pPr>
      <w:r w:rsidRPr="00522A10">
        <w:rPr>
          <w:rFonts w:ascii="Times New Roman" w:hAnsi="Times New Roman"/>
          <w:sz w:val="24"/>
          <w:szCs w:val="24"/>
          <w:lang w:val="sv-SE"/>
        </w:rPr>
        <w:t xml:space="preserve">Sugiyono. (2016). </w:t>
      </w:r>
      <w:r w:rsidRPr="00522A10">
        <w:rPr>
          <w:rFonts w:ascii="Times New Roman" w:hAnsi="Times New Roman"/>
          <w:i/>
          <w:iCs/>
          <w:sz w:val="24"/>
          <w:szCs w:val="24"/>
          <w:lang w:val="sv-SE"/>
        </w:rPr>
        <w:t>Metode penelitian kuantitatif, kualitatif, dan R&amp;D</w:t>
      </w:r>
      <w:r w:rsidRPr="00522A10">
        <w:rPr>
          <w:rFonts w:ascii="Times New Roman" w:hAnsi="Times New Roman"/>
          <w:sz w:val="24"/>
          <w:szCs w:val="24"/>
          <w:lang w:val="sv-SE"/>
        </w:rPr>
        <w:t>. Alfabeta.</w:t>
      </w:r>
    </w:p>
    <w:p w14:paraId="1A7E44F7" w14:textId="77777777" w:rsidR="00CF4081" w:rsidRDefault="00000000">
      <w:pPr>
        <w:pStyle w:val="34-Saintis-References-content"/>
        <w:spacing w:after="0" w:line="360" w:lineRule="auto"/>
        <w:rPr>
          <w:rFonts w:ascii="Times New Roman" w:hAnsi="Times New Roman"/>
          <w:sz w:val="24"/>
          <w:szCs w:val="24"/>
        </w:rPr>
      </w:pPr>
      <w:proofErr w:type="spellStart"/>
      <w:r>
        <w:rPr>
          <w:rFonts w:ascii="Times New Roman" w:hAnsi="Times New Roman"/>
          <w:sz w:val="24"/>
          <w:szCs w:val="24"/>
        </w:rPr>
        <w:t>Supriyono</w:t>
      </w:r>
      <w:proofErr w:type="spellEnd"/>
      <w:r>
        <w:rPr>
          <w:rFonts w:ascii="Times New Roman" w:hAnsi="Times New Roman"/>
          <w:sz w:val="24"/>
          <w:szCs w:val="24"/>
        </w:rPr>
        <w:t xml:space="preserve">, R. A., &amp; Herdhayinta, H. (2019). Determinants of bank profitability: The case of the regional development bank (BPD Bank) in Indonesia. </w:t>
      </w:r>
      <w:r>
        <w:rPr>
          <w:rFonts w:ascii="Times New Roman" w:hAnsi="Times New Roman"/>
          <w:i/>
          <w:iCs/>
          <w:sz w:val="24"/>
          <w:szCs w:val="24"/>
        </w:rPr>
        <w:t>Journal of Indonesian Economy and Business</w:t>
      </w:r>
      <w:r>
        <w:rPr>
          <w:rFonts w:ascii="Times New Roman" w:hAnsi="Times New Roman"/>
          <w:sz w:val="24"/>
          <w:szCs w:val="24"/>
        </w:rPr>
        <w:t xml:space="preserve">, </w:t>
      </w:r>
      <w:r>
        <w:rPr>
          <w:rFonts w:ascii="Times New Roman" w:hAnsi="Times New Roman"/>
          <w:i/>
          <w:iCs/>
          <w:sz w:val="24"/>
          <w:szCs w:val="24"/>
        </w:rPr>
        <w:t>34</w:t>
      </w:r>
      <w:r>
        <w:rPr>
          <w:rFonts w:ascii="Times New Roman" w:hAnsi="Times New Roman"/>
          <w:sz w:val="24"/>
          <w:szCs w:val="24"/>
        </w:rPr>
        <w:t>(1), 1–15.</w:t>
      </w:r>
    </w:p>
    <w:p w14:paraId="792879AA" w14:textId="77777777" w:rsidR="00CF4081" w:rsidRDefault="00000000">
      <w:pPr>
        <w:pStyle w:val="34-Saintis-References-content"/>
        <w:spacing w:after="0" w:line="360" w:lineRule="auto"/>
        <w:rPr>
          <w:rFonts w:ascii="Times New Roman" w:hAnsi="Times New Roman"/>
          <w:sz w:val="24"/>
          <w:szCs w:val="24"/>
        </w:rPr>
      </w:pPr>
      <w:r>
        <w:rPr>
          <w:rFonts w:ascii="Times New Roman" w:hAnsi="Times New Roman"/>
          <w:sz w:val="24"/>
          <w:szCs w:val="24"/>
        </w:rPr>
        <w:t xml:space="preserve">Taswan. (2010). </w:t>
      </w:r>
      <w:r>
        <w:rPr>
          <w:rFonts w:ascii="Times New Roman" w:hAnsi="Times New Roman"/>
          <w:i/>
          <w:iCs/>
          <w:sz w:val="24"/>
          <w:szCs w:val="24"/>
        </w:rPr>
        <w:t>Manajemen perbankan: Konsep, teknik, dan aplikasi</w:t>
      </w:r>
      <w:r>
        <w:rPr>
          <w:rFonts w:ascii="Times New Roman" w:hAnsi="Times New Roman"/>
          <w:sz w:val="24"/>
          <w:szCs w:val="24"/>
        </w:rPr>
        <w:t>. UPP STIM YKPN.</w:t>
      </w:r>
    </w:p>
    <w:p w14:paraId="20D068F8" w14:textId="77777777" w:rsidR="00CF4081" w:rsidRPr="00522A10" w:rsidRDefault="00000000">
      <w:pPr>
        <w:pStyle w:val="34-Saintis-References-content"/>
        <w:spacing w:after="0" w:line="360" w:lineRule="auto"/>
        <w:rPr>
          <w:rFonts w:ascii="Times New Roman" w:hAnsi="Times New Roman"/>
          <w:sz w:val="24"/>
          <w:szCs w:val="24"/>
          <w:lang w:val="sv-SE"/>
        </w:rPr>
      </w:pPr>
      <w:r>
        <w:rPr>
          <w:rFonts w:ascii="Times New Roman" w:hAnsi="Times New Roman"/>
          <w:sz w:val="24"/>
          <w:szCs w:val="24"/>
        </w:rPr>
        <w:t xml:space="preserve">Wulandari, S. P., &amp; Wahyudi, I. (2025). Pengaruh current account saving account (CASA) terhadap return on assets (ROA) pada bank konvensional di Indonesia: Peran moderasi capital adequacy ratio (CAR). </w:t>
      </w:r>
      <w:r w:rsidRPr="00522A10">
        <w:rPr>
          <w:rFonts w:ascii="Times New Roman" w:hAnsi="Times New Roman"/>
          <w:i/>
          <w:iCs/>
          <w:sz w:val="24"/>
          <w:szCs w:val="24"/>
          <w:lang w:val="sv-SE"/>
        </w:rPr>
        <w:t>Liabilities (Jurnal Pendidikan Akuntansi)</w:t>
      </w:r>
      <w:r w:rsidRPr="00522A10">
        <w:rPr>
          <w:rFonts w:ascii="Times New Roman" w:hAnsi="Times New Roman"/>
          <w:sz w:val="24"/>
          <w:szCs w:val="24"/>
          <w:lang w:val="sv-SE"/>
        </w:rPr>
        <w:t xml:space="preserve">, </w:t>
      </w:r>
      <w:r w:rsidRPr="00522A10">
        <w:rPr>
          <w:rFonts w:ascii="Times New Roman" w:hAnsi="Times New Roman"/>
          <w:i/>
          <w:iCs/>
          <w:sz w:val="24"/>
          <w:szCs w:val="24"/>
          <w:lang w:val="sv-SE"/>
        </w:rPr>
        <w:t>8</w:t>
      </w:r>
      <w:r w:rsidRPr="00522A10">
        <w:rPr>
          <w:rFonts w:ascii="Times New Roman" w:hAnsi="Times New Roman"/>
          <w:sz w:val="24"/>
          <w:szCs w:val="24"/>
          <w:lang w:val="sv-SE"/>
        </w:rPr>
        <w:t>(2), 62–73. https://jurnal.umsu.ac.id/index.php/LIAB/article/view/26344</w:t>
      </w:r>
    </w:p>
    <w:p w14:paraId="7657AF75" w14:textId="77777777" w:rsidR="00CF4081" w:rsidRPr="00522A10" w:rsidRDefault="00000000">
      <w:pPr>
        <w:pStyle w:val="34-Saintis-References-content"/>
        <w:spacing w:after="0" w:line="360" w:lineRule="auto"/>
        <w:rPr>
          <w:rFonts w:ascii="Times New Roman" w:hAnsi="Times New Roman"/>
          <w:sz w:val="24"/>
          <w:szCs w:val="24"/>
          <w:lang w:val="sv-SE"/>
        </w:rPr>
      </w:pPr>
      <w:r w:rsidRPr="00522A10">
        <w:rPr>
          <w:rFonts w:ascii="Times New Roman" w:hAnsi="Times New Roman"/>
          <w:sz w:val="24"/>
          <w:szCs w:val="24"/>
          <w:lang w:val="sv-SE"/>
        </w:rPr>
        <w:t xml:space="preserve">Yanti, M. D., &amp; Noviansyah. (2025). Pengaruh NIM dan CAR terhadap ROA pada bank BUMN yang terdaftar di Bursa Efek Indonesia periode 2019–2023. </w:t>
      </w:r>
      <w:r w:rsidRPr="00522A10">
        <w:rPr>
          <w:rFonts w:ascii="Times New Roman" w:hAnsi="Times New Roman"/>
          <w:i/>
          <w:iCs/>
          <w:sz w:val="24"/>
          <w:szCs w:val="24"/>
          <w:lang w:val="sv-SE"/>
        </w:rPr>
        <w:t>Jurnal Manajemen Bisnis Unbara</w:t>
      </w:r>
      <w:r w:rsidRPr="00522A10">
        <w:rPr>
          <w:rFonts w:ascii="Times New Roman" w:hAnsi="Times New Roman"/>
          <w:sz w:val="24"/>
          <w:szCs w:val="24"/>
          <w:lang w:val="sv-SE"/>
        </w:rPr>
        <w:t>, 26–43.</w:t>
      </w:r>
    </w:p>
    <w:p w14:paraId="1CF312A4" w14:textId="77777777" w:rsidR="00CF4081" w:rsidRPr="00522A10" w:rsidRDefault="00000000">
      <w:pPr>
        <w:pStyle w:val="34-Saintis-References-content"/>
        <w:spacing w:after="0" w:line="360" w:lineRule="auto"/>
        <w:rPr>
          <w:rFonts w:ascii="Times New Roman" w:hAnsi="Times New Roman"/>
          <w:sz w:val="24"/>
          <w:szCs w:val="24"/>
          <w:lang w:val="sv-SE"/>
        </w:rPr>
      </w:pPr>
      <w:r w:rsidRPr="00522A10">
        <w:rPr>
          <w:rFonts w:ascii="Times New Roman" w:hAnsi="Times New Roman"/>
          <w:sz w:val="24"/>
          <w:szCs w:val="24"/>
          <w:lang w:val="sv-SE"/>
        </w:rPr>
        <w:t xml:space="preserve">Yenti, I. F. (2021). </w:t>
      </w:r>
      <w:r w:rsidRPr="00522A10">
        <w:rPr>
          <w:rFonts w:ascii="Times New Roman" w:hAnsi="Times New Roman"/>
          <w:i/>
          <w:iCs/>
          <w:sz w:val="24"/>
          <w:szCs w:val="24"/>
          <w:lang w:val="sv-SE"/>
        </w:rPr>
        <w:t>Faktor-faktor yang mempengaruhi profitabilitas pada Bank Nagari Sumatera Barat pada tahun 2010–2020</w:t>
      </w:r>
      <w:r w:rsidRPr="00522A10">
        <w:rPr>
          <w:rFonts w:ascii="Times New Roman" w:hAnsi="Times New Roman"/>
          <w:sz w:val="24"/>
          <w:szCs w:val="24"/>
          <w:lang w:val="sv-SE"/>
        </w:rPr>
        <w:t xml:space="preserve"> [Skripsi, UIN Sunan Kalijaga Yogyakarta]. https://digilib.uin-suka.ac.id/id/eprint/46881/</w:t>
      </w:r>
    </w:p>
    <w:p w14:paraId="341EF03A" w14:textId="77777777" w:rsidR="00CF4081" w:rsidRDefault="00000000">
      <w:pPr>
        <w:pStyle w:val="34-Saintis-References-content"/>
        <w:spacing w:after="0" w:line="360" w:lineRule="auto"/>
        <w:rPr>
          <w:rFonts w:ascii="Times New Roman" w:hAnsi="Times New Roman"/>
          <w:sz w:val="24"/>
          <w:szCs w:val="24"/>
        </w:rPr>
      </w:pPr>
      <w:r>
        <w:rPr>
          <w:rFonts w:ascii="Times New Roman" w:hAnsi="Times New Roman"/>
          <w:sz w:val="24"/>
          <w:szCs w:val="24"/>
        </w:rPr>
        <w:t xml:space="preserve">Yulianah, &amp; Aji, T. S. (2021). Pengaruh rasio NPL, LDR, NIM, BOPO, dan CAR terhadap profitabilitas bank BUMN di Indonesia. </w:t>
      </w:r>
      <w:r>
        <w:rPr>
          <w:rFonts w:ascii="Times New Roman" w:hAnsi="Times New Roman"/>
          <w:i/>
          <w:iCs/>
          <w:sz w:val="24"/>
          <w:szCs w:val="24"/>
        </w:rPr>
        <w:t>BISEI: Jurnal Bisnis dan Ekonomi Islam</w:t>
      </w:r>
      <w:r>
        <w:rPr>
          <w:rFonts w:ascii="Times New Roman" w:hAnsi="Times New Roman"/>
          <w:sz w:val="24"/>
          <w:szCs w:val="24"/>
        </w:rPr>
        <w:t xml:space="preserve">, </w:t>
      </w:r>
      <w:r>
        <w:rPr>
          <w:rFonts w:ascii="Times New Roman" w:hAnsi="Times New Roman"/>
          <w:i/>
          <w:iCs/>
          <w:sz w:val="24"/>
          <w:szCs w:val="24"/>
        </w:rPr>
        <w:t>6</w:t>
      </w:r>
      <w:r>
        <w:rPr>
          <w:rFonts w:ascii="Times New Roman" w:hAnsi="Times New Roman"/>
          <w:sz w:val="24"/>
          <w:szCs w:val="24"/>
        </w:rPr>
        <w:t>(2), 74–88.</w:t>
      </w:r>
    </w:p>
    <w:sectPr w:rsidR="00CF4081" w:rsidSect="00851B84">
      <w:footerReference w:type="default" r:id="rId9"/>
      <w:headerReference w:type="first" r:id="rId10"/>
      <w:pgSz w:w="11906" w:h="16838" w:code="9"/>
      <w:pgMar w:top="1418" w:right="1418" w:bottom="1418" w:left="1418" w:header="709" w:footer="397" w:gutter="0"/>
      <w:pgNumType w:start="1"/>
      <w:cols w:space="316"/>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00135" w14:textId="77777777" w:rsidR="006909C7" w:rsidRDefault="006909C7">
      <w:r>
        <w:separator/>
      </w:r>
    </w:p>
  </w:endnote>
  <w:endnote w:type="continuationSeparator" w:id="0">
    <w:p w14:paraId="5AB30A3E" w14:textId="77777777" w:rsidR="006909C7" w:rsidRDefault="00690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Schoolbook">
    <w:panose1 w:val="0204060405050502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Univers">
    <w:charset w:val="00"/>
    <w:family w:val="swiss"/>
    <w:pitch w:val="variable"/>
    <w:sig w:usb0="80000287" w:usb1="00000000" w:usb2="00000000" w:usb3="00000000" w:csb0="0000000F" w:csb1="00000000"/>
  </w:font>
  <w:font w:name="Helvetica">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0578133"/>
      <w:docPartObj>
        <w:docPartGallery w:val="Page Numbers (Bottom of Page)"/>
        <w:docPartUnique/>
      </w:docPartObj>
    </w:sdtPr>
    <w:sdtEndPr>
      <w:rPr>
        <w:noProof/>
      </w:rPr>
    </w:sdtEndPr>
    <w:sdtContent>
      <w:p w14:paraId="5377F622" w14:textId="77777777" w:rsidR="00851B84" w:rsidRDefault="00851B8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2A585C" w14:textId="77777777" w:rsidR="00851B84" w:rsidRDefault="00851B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BE835" w14:textId="77777777" w:rsidR="006909C7" w:rsidRDefault="006909C7">
      <w:r>
        <w:separator/>
      </w:r>
    </w:p>
  </w:footnote>
  <w:footnote w:type="continuationSeparator" w:id="0">
    <w:p w14:paraId="30B0CEDD" w14:textId="77777777" w:rsidR="006909C7" w:rsidRDefault="006909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BC66F" w14:textId="77777777" w:rsidR="00CF4E93" w:rsidRPr="00C33362" w:rsidRDefault="00CF4E93" w:rsidP="00C33362">
    <w:pPr>
      <w:pStyle w:val="Header"/>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295E7894"/>
    <w:lvl w:ilvl="0" w:tplc="B45E1EA0">
      <w:start w:val="1"/>
      <w:numFmt w:val="decimal"/>
      <w:lvlText w:val="[%1]"/>
      <w:lvlJc w:val="left"/>
      <w:pPr>
        <w:tabs>
          <w:tab w:val="num" w:pos="420"/>
        </w:tabs>
        <w:ind w:left="420" w:hanging="420"/>
      </w:pPr>
      <w:rPr>
        <w:rFonts w:ascii="Times New Roman" w:hAnsi="Times New Roman" w:hint="default"/>
        <w:b w:val="0"/>
        <w:i w:val="0"/>
        <w:color w:val="auto"/>
        <w:sz w:val="18"/>
        <w:szCs w:val="18"/>
      </w:rPr>
    </w:lvl>
    <w:lvl w:ilvl="1" w:tplc="04090019">
      <w:start w:val="1"/>
      <w:numFmt w:val="lowerLetter"/>
      <w:lvlRestart w:val="0"/>
      <w:lvlText w:val="%2)"/>
      <w:lvlJc w:val="left"/>
      <w:pPr>
        <w:tabs>
          <w:tab w:val="num" w:pos="840"/>
        </w:tabs>
        <w:ind w:left="840" w:hanging="420"/>
      </w:pPr>
    </w:lvl>
    <w:lvl w:ilvl="2" w:tplc="0409001B">
      <w:start w:val="1"/>
      <w:numFmt w:val="lowerRoman"/>
      <w:lvlRestart w:val="0"/>
      <w:lvlText w:val="%3."/>
      <w:lvlJc w:val="right"/>
      <w:pPr>
        <w:tabs>
          <w:tab w:val="num" w:pos="1260"/>
        </w:tabs>
        <w:ind w:left="1260" w:hanging="420"/>
      </w:pPr>
    </w:lvl>
    <w:lvl w:ilvl="3" w:tplc="0409000F">
      <w:start w:val="1"/>
      <w:numFmt w:val="decimal"/>
      <w:lvlRestart w:val="0"/>
      <w:lvlText w:val="%4."/>
      <w:lvlJc w:val="left"/>
      <w:pPr>
        <w:tabs>
          <w:tab w:val="num" w:pos="1680"/>
        </w:tabs>
        <w:ind w:left="1680" w:hanging="420"/>
      </w:pPr>
    </w:lvl>
    <w:lvl w:ilvl="4" w:tplc="04090019">
      <w:start w:val="1"/>
      <w:numFmt w:val="lowerLetter"/>
      <w:lvlRestart w:val="0"/>
      <w:lvlText w:val="%5)"/>
      <w:lvlJc w:val="left"/>
      <w:pPr>
        <w:tabs>
          <w:tab w:val="num" w:pos="2100"/>
        </w:tabs>
        <w:ind w:left="2100" w:hanging="420"/>
      </w:pPr>
    </w:lvl>
    <w:lvl w:ilvl="5" w:tplc="0409001B">
      <w:start w:val="1"/>
      <w:numFmt w:val="lowerRoman"/>
      <w:lvlRestart w:val="0"/>
      <w:lvlText w:val="%6."/>
      <w:lvlJc w:val="right"/>
      <w:pPr>
        <w:tabs>
          <w:tab w:val="num" w:pos="2520"/>
        </w:tabs>
        <w:ind w:left="2520" w:hanging="420"/>
      </w:pPr>
    </w:lvl>
    <w:lvl w:ilvl="6" w:tplc="0409000F">
      <w:start w:val="1"/>
      <w:numFmt w:val="decimal"/>
      <w:lvlRestart w:val="0"/>
      <w:lvlText w:val="%7."/>
      <w:lvlJc w:val="left"/>
      <w:pPr>
        <w:tabs>
          <w:tab w:val="num" w:pos="2940"/>
        </w:tabs>
        <w:ind w:left="2940" w:hanging="420"/>
      </w:pPr>
    </w:lvl>
    <w:lvl w:ilvl="7" w:tplc="04090019">
      <w:start w:val="1"/>
      <w:numFmt w:val="lowerLetter"/>
      <w:lvlRestart w:val="0"/>
      <w:lvlText w:val="%8)"/>
      <w:lvlJc w:val="left"/>
      <w:pPr>
        <w:tabs>
          <w:tab w:val="num" w:pos="3360"/>
        </w:tabs>
        <w:ind w:left="3360" w:hanging="420"/>
      </w:pPr>
    </w:lvl>
    <w:lvl w:ilvl="8" w:tplc="0409001B">
      <w:start w:val="1"/>
      <w:numFmt w:val="lowerRoman"/>
      <w:lvlRestart w:val="0"/>
      <w:lvlText w:val="%9."/>
      <w:lvlJc w:val="right"/>
      <w:pPr>
        <w:tabs>
          <w:tab w:val="num" w:pos="3780"/>
        </w:tabs>
        <w:ind w:left="3780" w:hanging="420"/>
      </w:pPr>
    </w:lvl>
  </w:abstractNum>
  <w:abstractNum w:abstractNumId="1" w15:restartNumberingAfterBreak="0">
    <w:nsid w:val="00000002"/>
    <w:multiLevelType w:val="hybridMultilevel"/>
    <w:tmpl w:val="48126758"/>
    <w:lvl w:ilvl="0" w:tplc="0421000F">
      <w:start w:val="1"/>
      <w:numFmt w:val="decimal"/>
      <w:lvlText w:val="%1."/>
      <w:lvlJc w:val="left"/>
      <w:pPr>
        <w:ind w:left="720" w:hanging="360"/>
      </w:pPr>
      <w:rPr>
        <w:rFonts w:hint="default"/>
      </w:rPr>
    </w:lvl>
    <w:lvl w:ilvl="1" w:tplc="04210019">
      <w:start w:val="1"/>
      <w:numFmt w:val="lowerLetter"/>
      <w:lvlRestart w:val="0"/>
      <w:lvlText w:val="%2."/>
      <w:lvlJc w:val="left"/>
      <w:pPr>
        <w:ind w:left="1440" w:hanging="360"/>
      </w:pPr>
    </w:lvl>
    <w:lvl w:ilvl="2" w:tplc="0421001B">
      <w:start w:val="1"/>
      <w:numFmt w:val="lowerRoman"/>
      <w:lvlRestart w:val="0"/>
      <w:lvlText w:val="%3."/>
      <w:lvlJc w:val="right"/>
      <w:pPr>
        <w:ind w:left="2160" w:hanging="180"/>
      </w:pPr>
    </w:lvl>
    <w:lvl w:ilvl="3" w:tplc="0421000F">
      <w:start w:val="1"/>
      <w:numFmt w:val="decimal"/>
      <w:lvlRestart w:val="0"/>
      <w:lvlText w:val="%4."/>
      <w:lvlJc w:val="left"/>
      <w:pPr>
        <w:ind w:left="2880" w:hanging="360"/>
      </w:pPr>
    </w:lvl>
    <w:lvl w:ilvl="4" w:tplc="04210019">
      <w:start w:val="1"/>
      <w:numFmt w:val="lowerLetter"/>
      <w:lvlRestart w:val="0"/>
      <w:lvlText w:val="%5."/>
      <w:lvlJc w:val="left"/>
      <w:pPr>
        <w:ind w:left="3600" w:hanging="360"/>
      </w:pPr>
    </w:lvl>
    <w:lvl w:ilvl="5" w:tplc="0421001B">
      <w:start w:val="1"/>
      <w:numFmt w:val="lowerRoman"/>
      <w:lvlRestart w:val="0"/>
      <w:lvlText w:val="%6."/>
      <w:lvlJc w:val="right"/>
      <w:pPr>
        <w:ind w:left="4320" w:hanging="180"/>
      </w:pPr>
    </w:lvl>
    <w:lvl w:ilvl="6" w:tplc="0421000F">
      <w:start w:val="1"/>
      <w:numFmt w:val="decimal"/>
      <w:lvlRestart w:val="0"/>
      <w:lvlText w:val="%7."/>
      <w:lvlJc w:val="left"/>
      <w:pPr>
        <w:ind w:left="5040" w:hanging="360"/>
      </w:pPr>
    </w:lvl>
    <w:lvl w:ilvl="7" w:tplc="04210019">
      <w:start w:val="1"/>
      <w:numFmt w:val="lowerLetter"/>
      <w:lvlRestart w:val="0"/>
      <w:lvlText w:val="%8."/>
      <w:lvlJc w:val="left"/>
      <w:pPr>
        <w:ind w:left="5760" w:hanging="360"/>
      </w:pPr>
    </w:lvl>
    <w:lvl w:ilvl="8" w:tplc="0421001B">
      <w:start w:val="1"/>
      <w:numFmt w:val="lowerRoman"/>
      <w:lvlRestart w:val="0"/>
      <w:lvlText w:val="%9."/>
      <w:lvlJc w:val="right"/>
      <w:pPr>
        <w:ind w:left="6480" w:hanging="180"/>
      </w:pPr>
    </w:lvl>
  </w:abstractNum>
  <w:abstractNum w:abstractNumId="2" w15:restartNumberingAfterBreak="0">
    <w:nsid w:val="00000003"/>
    <w:multiLevelType w:val="hybridMultilevel"/>
    <w:tmpl w:val="5880B4A8"/>
    <w:lvl w:ilvl="0" w:tplc="9DC2B9D2">
      <w:start w:val="1"/>
      <w:numFmt w:val="decimal"/>
      <w:lvlText w:val="%1-"/>
      <w:lvlJc w:val="left"/>
      <w:pPr>
        <w:tabs>
          <w:tab w:val="num" w:pos="360"/>
        </w:tabs>
        <w:ind w:left="360" w:hanging="360"/>
      </w:pPr>
      <w:rPr>
        <w:rFonts w:hint="default"/>
      </w:rPr>
    </w:lvl>
    <w:lvl w:ilvl="1" w:tplc="04090019">
      <w:start w:val="1"/>
      <w:numFmt w:val="lowerLetter"/>
      <w:lvlRestart w:val="0"/>
      <w:lvlText w:val="%2."/>
      <w:lvlJc w:val="left"/>
      <w:pPr>
        <w:tabs>
          <w:tab w:val="num" w:pos="1440"/>
        </w:tabs>
        <w:ind w:left="1440" w:hanging="360"/>
      </w:pPr>
    </w:lvl>
    <w:lvl w:ilvl="2" w:tplc="0409001B">
      <w:start w:val="1"/>
      <w:numFmt w:val="lowerRoman"/>
      <w:lvlRestart w:val="0"/>
      <w:lvlText w:val="%3."/>
      <w:lvlJc w:val="right"/>
      <w:pPr>
        <w:tabs>
          <w:tab w:val="num" w:pos="2160"/>
        </w:tabs>
        <w:ind w:left="2160" w:hanging="180"/>
      </w:pPr>
    </w:lvl>
    <w:lvl w:ilvl="3" w:tplc="0409000F">
      <w:start w:val="1"/>
      <w:numFmt w:val="decimal"/>
      <w:lvlRestart w:val="0"/>
      <w:lvlText w:val="%4."/>
      <w:lvlJc w:val="left"/>
      <w:pPr>
        <w:tabs>
          <w:tab w:val="num" w:pos="2880"/>
        </w:tabs>
        <w:ind w:left="2880" w:hanging="360"/>
      </w:pPr>
    </w:lvl>
    <w:lvl w:ilvl="4" w:tplc="04090019">
      <w:start w:val="1"/>
      <w:numFmt w:val="lowerLetter"/>
      <w:lvlRestart w:val="0"/>
      <w:lvlText w:val="%5."/>
      <w:lvlJc w:val="left"/>
      <w:pPr>
        <w:tabs>
          <w:tab w:val="num" w:pos="3600"/>
        </w:tabs>
        <w:ind w:left="3600" w:hanging="360"/>
      </w:pPr>
    </w:lvl>
    <w:lvl w:ilvl="5" w:tplc="0409001B">
      <w:start w:val="1"/>
      <w:numFmt w:val="lowerRoman"/>
      <w:lvlRestart w:val="0"/>
      <w:lvlText w:val="%6."/>
      <w:lvlJc w:val="right"/>
      <w:pPr>
        <w:tabs>
          <w:tab w:val="num" w:pos="4320"/>
        </w:tabs>
        <w:ind w:left="4320" w:hanging="180"/>
      </w:pPr>
    </w:lvl>
    <w:lvl w:ilvl="6" w:tplc="0409000F">
      <w:start w:val="1"/>
      <w:numFmt w:val="decimal"/>
      <w:lvlRestart w:val="0"/>
      <w:lvlText w:val="%7."/>
      <w:lvlJc w:val="left"/>
      <w:pPr>
        <w:tabs>
          <w:tab w:val="num" w:pos="5040"/>
        </w:tabs>
        <w:ind w:left="5040" w:hanging="360"/>
      </w:pPr>
    </w:lvl>
    <w:lvl w:ilvl="7" w:tplc="04090019">
      <w:start w:val="1"/>
      <w:numFmt w:val="lowerLetter"/>
      <w:lvlRestart w:val="0"/>
      <w:lvlText w:val="%8."/>
      <w:lvlJc w:val="left"/>
      <w:pPr>
        <w:tabs>
          <w:tab w:val="num" w:pos="5760"/>
        </w:tabs>
        <w:ind w:left="5760" w:hanging="360"/>
      </w:pPr>
    </w:lvl>
    <w:lvl w:ilvl="8" w:tplc="0409001B">
      <w:start w:val="1"/>
      <w:numFmt w:val="lowerRoman"/>
      <w:lvlRestart w:val="0"/>
      <w:lvlText w:val="%9."/>
      <w:lvlJc w:val="right"/>
      <w:pPr>
        <w:tabs>
          <w:tab w:val="num" w:pos="6480"/>
        </w:tabs>
        <w:ind w:left="6480" w:hanging="180"/>
      </w:pPr>
    </w:lvl>
  </w:abstractNum>
  <w:abstractNum w:abstractNumId="3" w15:restartNumberingAfterBreak="0">
    <w:nsid w:val="00000004"/>
    <w:multiLevelType w:val="hybridMultilevel"/>
    <w:tmpl w:val="951A9D8A"/>
    <w:lvl w:ilvl="0" w:tplc="0409000F">
      <w:start w:val="1"/>
      <w:numFmt w:val="decimal"/>
      <w:lvlText w:val="%1."/>
      <w:lvlJc w:val="left"/>
      <w:pPr>
        <w:ind w:left="720" w:hanging="360"/>
      </w:pPr>
      <w:rPr>
        <w:rFonts w:hint="default"/>
      </w:rPr>
    </w:lvl>
    <w:lvl w:ilvl="1" w:tplc="04090019">
      <w:start w:val="1"/>
      <w:numFmt w:val="lowerLetter"/>
      <w:lvlRestart w:val="0"/>
      <w:lvlText w:val="%2."/>
      <w:lvlJc w:val="left"/>
      <w:pPr>
        <w:ind w:left="1440" w:hanging="360"/>
      </w:pPr>
    </w:lvl>
    <w:lvl w:ilvl="2" w:tplc="0409001B">
      <w:start w:val="1"/>
      <w:numFmt w:val="lowerRoman"/>
      <w:lvlRestart w:val="0"/>
      <w:lvlText w:val="%3."/>
      <w:lvlJc w:val="right"/>
      <w:pPr>
        <w:ind w:left="2160" w:hanging="180"/>
      </w:pPr>
    </w:lvl>
    <w:lvl w:ilvl="3" w:tplc="0409000F">
      <w:start w:val="1"/>
      <w:numFmt w:val="decimal"/>
      <w:lvlRestart w:val="0"/>
      <w:lvlText w:val="%4."/>
      <w:lvlJc w:val="left"/>
      <w:pPr>
        <w:ind w:left="2880" w:hanging="360"/>
      </w:pPr>
    </w:lvl>
    <w:lvl w:ilvl="4" w:tplc="04090019">
      <w:start w:val="1"/>
      <w:numFmt w:val="lowerLetter"/>
      <w:lvlRestart w:val="0"/>
      <w:lvlText w:val="%5."/>
      <w:lvlJc w:val="left"/>
      <w:pPr>
        <w:ind w:left="3600" w:hanging="360"/>
      </w:pPr>
    </w:lvl>
    <w:lvl w:ilvl="5" w:tplc="0409001B">
      <w:start w:val="1"/>
      <w:numFmt w:val="lowerRoman"/>
      <w:lvlRestart w:val="0"/>
      <w:lvlText w:val="%6."/>
      <w:lvlJc w:val="right"/>
      <w:pPr>
        <w:ind w:left="4320" w:hanging="180"/>
      </w:pPr>
    </w:lvl>
    <w:lvl w:ilvl="6" w:tplc="0409000F">
      <w:start w:val="1"/>
      <w:numFmt w:val="decimal"/>
      <w:lvlRestart w:val="0"/>
      <w:lvlText w:val="%7."/>
      <w:lvlJc w:val="left"/>
      <w:pPr>
        <w:ind w:left="5040" w:hanging="360"/>
      </w:pPr>
    </w:lvl>
    <w:lvl w:ilvl="7" w:tplc="04090019">
      <w:start w:val="1"/>
      <w:numFmt w:val="lowerLetter"/>
      <w:lvlRestart w:val="0"/>
      <w:lvlText w:val="%8."/>
      <w:lvlJc w:val="left"/>
      <w:pPr>
        <w:ind w:left="5760" w:hanging="360"/>
      </w:pPr>
    </w:lvl>
    <w:lvl w:ilvl="8" w:tplc="0409001B">
      <w:start w:val="1"/>
      <w:numFmt w:val="lowerRoman"/>
      <w:lvlRestart w:val="0"/>
      <w:lvlText w:val="%9."/>
      <w:lvlJc w:val="right"/>
      <w:pPr>
        <w:ind w:left="6480" w:hanging="180"/>
      </w:pPr>
    </w:lvl>
  </w:abstractNum>
  <w:abstractNum w:abstractNumId="4" w15:restartNumberingAfterBreak="0">
    <w:nsid w:val="00000005"/>
    <w:multiLevelType w:val="hybridMultilevel"/>
    <w:tmpl w:val="A202B424"/>
    <w:lvl w:ilvl="0" w:tplc="04090001">
      <w:start w:val="1"/>
      <w:numFmt w:val="bullet"/>
      <w:lvlText w:val=""/>
      <w:lvlJc w:val="left"/>
      <w:pPr>
        <w:ind w:left="620" w:hanging="420"/>
      </w:pPr>
      <w:rPr>
        <w:rFonts w:ascii="Wingdings" w:hAnsi="Wingdings" w:hint="default"/>
      </w:rPr>
    </w:lvl>
    <w:lvl w:ilvl="1" w:tplc="04090003">
      <w:start w:val="1"/>
      <w:numFmt w:val="bullet"/>
      <w:lvlRestart w:val="0"/>
      <w:lvlText w:val=""/>
      <w:lvlJc w:val="left"/>
      <w:pPr>
        <w:ind w:left="1040" w:hanging="420"/>
      </w:pPr>
      <w:rPr>
        <w:rFonts w:ascii="Wingdings" w:hAnsi="Wingdings" w:hint="default"/>
      </w:rPr>
    </w:lvl>
    <w:lvl w:ilvl="2" w:tplc="04090005">
      <w:start w:val="1"/>
      <w:numFmt w:val="bullet"/>
      <w:lvlRestart w:val="0"/>
      <w:lvlText w:val=""/>
      <w:lvlJc w:val="left"/>
      <w:pPr>
        <w:ind w:left="1460" w:hanging="420"/>
      </w:pPr>
      <w:rPr>
        <w:rFonts w:ascii="Wingdings" w:hAnsi="Wingdings" w:hint="default"/>
      </w:rPr>
    </w:lvl>
    <w:lvl w:ilvl="3" w:tplc="04090001">
      <w:start w:val="1"/>
      <w:numFmt w:val="bullet"/>
      <w:lvlRestart w:val="0"/>
      <w:lvlText w:val=""/>
      <w:lvlJc w:val="left"/>
      <w:pPr>
        <w:ind w:left="1880" w:hanging="420"/>
      </w:pPr>
      <w:rPr>
        <w:rFonts w:ascii="Wingdings" w:hAnsi="Wingdings" w:hint="default"/>
      </w:rPr>
    </w:lvl>
    <w:lvl w:ilvl="4" w:tplc="04090003">
      <w:start w:val="1"/>
      <w:numFmt w:val="bullet"/>
      <w:lvlRestart w:val="0"/>
      <w:lvlText w:val=""/>
      <w:lvlJc w:val="left"/>
      <w:pPr>
        <w:ind w:left="2300" w:hanging="420"/>
      </w:pPr>
      <w:rPr>
        <w:rFonts w:ascii="Wingdings" w:hAnsi="Wingdings" w:hint="default"/>
      </w:rPr>
    </w:lvl>
    <w:lvl w:ilvl="5" w:tplc="04090005">
      <w:start w:val="1"/>
      <w:numFmt w:val="bullet"/>
      <w:lvlRestart w:val="0"/>
      <w:lvlText w:val=""/>
      <w:lvlJc w:val="left"/>
      <w:pPr>
        <w:ind w:left="2720" w:hanging="420"/>
      </w:pPr>
      <w:rPr>
        <w:rFonts w:ascii="Wingdings" w:hAnsi="Wingdings" w:hint="default"/>
      </w:rPr>
    </w:lvl>
    <w:lvl w:ilvl="6" w:tplc="04090001">
      <w:start w:val="1"/>
      <w:numFmt w:val="bullet"/>
      <w:lvlRestart w:val="0"/>
      <w:lvlText w:val=""/>
      <w:lvlJc w:val="left"/>
      <w:pPr>
        <w:ind w:left="3140" w:hanging="420"/>
      </w:pPr>
      <w:rPr>
        <w:rFonts w:ascii="Wingdings" w:hAnsi="Wingdings" w:hint="default"/>
      </w:rPr>
    </w:lvl>
    <w:lvl w:ilvl="7" w:tplc="04090003">
      <w:start w:val="1"/>
      <w:numFmt w:val="bullet"/>
      <w:lvlRestart w:val="0"/>
      <w:lvlText w:val=""/>
      <w:lvlJc w:val="left"/>
      <w:pPr>
        <w:ind w:left="3560" w:hanging="420"/>
      </w:pPr>
      <w:rPr>
        <w:rFonts w:ascii="Wingdings" w:hAnsi="Wingdings" w:hint="default"/>
      </w:rPr>
    </w:lvl>
    <w:lvl w:ilvl="8" w:tplc="04090005">
      <w:start w:val="1"/>
      <w:numFmt w:val="bullet"/>
      <w:lvlRestart w:val="0"/>
      <w:lvlText w:val=""/>
      <w:lvlJc w:val="left"/>
      <w:pPr>
        <w:ind w:left="3980" w:hanging="420"/>
      </w:pPr>
      <w:rPr>
        <w:rFonts w:ascii="Wingdings" w:hAnsi="Wingdings" w:hint="default"/>
      </w:rPr>
    </w:lvl>
  </w:abstractNum>
  <w:abstractNum w:abstractNumId="5" w15:restartNumberingAfterBreak="0">
    <w:nsid w:val="00000006"/>
    <w:multiLevelType w:val="hybridMultilevel"/>
    <w:tmpl w:val="49EC38EA"/>
    <w:lvl w:ilvl="0" w:tplc="DA047C5E">
      <w:start w:val="1"/>
      <w:numFmt w:val="bullet"/>
      <w:pStyle w:val="43-Saintis-Text-with-Bulleted"/>
      <w:lvlText w:val=""/>
      <w:lvlJc w:val="left"/>
      <w:pPr>
        <w:ind w:left="420" w:hanging="420"/>
      </w:pPr>
      <w:rPr>
        <w:rFonts w:ascii="Wingdings" w:hAnsi="Wingdings" w:hint="default"/>
      </w:rPr>
    </w:lvl>
    <w:lvl w:ilvl="1" w:tplc="04090003">
      <w:start w:val="1"/>
      <w:numFmt w:val="bullet"/>
      <w:lvlRestart w:val="0"/>
      <w:lvlText w:val=""/>
      <w:lvlJc w:val="left"/>
      <w:pPr>
        <w:ind w:left="840" w:hanging="420"/>
      </w:pPr>
      <w:rPr>
        <w:rFonts w:ascii="Wingdings" w:hAnsi="Wingdings" w:hint="default"/>
      </w:rPr>
    </w:lvl>
    <w:lvl w:ilvl="2" w:tplc="04090005">
      <w:start w:val="1"/>
      <w:numFmt w:val="bullet"/>
      <w:lvlRestart w:val="0"/>
      <w:lvlText w:val=""/>
      <w:lvlJc w:val="left"/>
      <w:pPr>
        <w:ind w:left="1260" w:hanging="420"/>
      </w:pPr>
      <w:rPr>
        <w:rFonts w:ascii="Wingdings" w:hAnsi="Wingdings" w:hint="default"/>
      </w:rPr>
    </w:lvl>
    <w:lvl w:ilvl="3" w:tplc="04090001">
      <w:start w:val="1"/>
      <w:numFmt w:val="bullet"/>
      <w:lvlRestart w:val="0"/>
      <w:lvlText w:val=""/>
      <w:lvlJc w:val="left"/>
      <w:pPr>
        <w:ind w:left="1680" w:hanging="420"/>
      </w:pPr>
      <w:rPr>
        <w:rFonts w:ascii="Wingdings" w:hAnsi="Wingdings" w:hint="default"/>
      </w:rPr>
    </w:lvl>
    <w:lvl w:ilvl="4" w:tplc="04090003">
      <w:start w:val="1"/>
      <w:numFmt w:val="bullet"/>
      <w:lvlRestart w:val="0"/>
      <w:lvlText w:val=""/>
      <w:lvlJc w:val="left"/>
      <w:pPr>
        <w:ind w:left="2100" w:hanging="420"/>
      </w:pPr>
      <w:rPr>
        <w:rFonts w:ascii="Wingdings" w:hAnsi="Wingdings" w:hint="default"/>
      </w:rPr>
    </w:lvl>
    <w:lvl w:ilvl="5" w:tplc="04090005">
      <w:start w:val="1"/>
      <w:numFmt w:val="bullet"/>
      <w:lvlRestart w:val="0"/>
      <w:lvlText w:val=""/>
      <w:lvlJc w:val="left"/>
      <w:pPr>
        <w:ind w:left="2520" w:hanging="420"/>
      </w:pPr>
      <w:rPr>
        <w:rFonts w:ascii="Wingdings" w:hAnsi="Wingdings" w:hint="default"/>
      </w:rPr>
    </w:lvl>
    <w:lvl w:ilvl="6" w:tplc="04090001">
      <w:start w:val="1"/>
      <w:numFmt w:val="bullet"/>
      <w:lvlRestart w:val="0"/>
      <w:lvlText w:val=""/>
      <w:lvlJc w:val="left"/>
      <w:pPr>
        <w:ind w:left="2940" w:hanging="420"/>
      </w:pPr>
      <w:rPr>
        <w:rFonts w:ascii="Wingdings" w:hAnsi="Wingdings" w:hint="default"/>
      </w:rPr>
    </w:lvl>
    <w:lvl w:ilvl="7" w:tplc="04090003">
      <w:start w:val="1"/>
      <w:numFmt w:val="bullet"/>
      <w:lvlRestart w:val="0"/>
      <w:lvlText w:val=""/>
      <w:lvlJc w:val="left"/>
      <w:pPr>
        <w:ind w:left="3360" w:hanging="420"/>
      </w:pPr>
      <w:rPr>
        <w:rFonts w:ascii="Wingdings" w:hAnsi="Wingdings" w:hint="default"/>
      </w:rPr>
    </w:lvl>
    <w:lvl w:ilvl="8" w:tplc="04090005">
      <w:start w:val="1"/>
      <w:numFmt w:val="bullet"/>
      <w:lvlRestart w:val="0"/>
      <w:lvlText w:val=""/>
      <w:lvlJc w:val="left"/>
      <w:pPr>
        <w:ind w:left="3780" w:hanging="420"/>
      </w:pPr>
      <w:rPr>
        <w:rFonts w:ascii="Wingdings" w:hAnsi="Wingdings" w:hint="default"/>
      </w:rPr>
    </w:lvl>
  </w:abstractNum>
  <w:abstractNum w:abstractNumId="6" w15:restartNumberingAfterBreak="0">
    <w:nsid w:val="06FB05B1"/>
    <w:multiLevelType w:val="hybridMultilevel"/>
    <w:tmpl w:val="47BC8ED2"/>
    <w:lvl w:ilvl="0" w:tplc="0421000F">
      <w:start w:val="1"/>
      <w:numFmt w:val="decimal"/>
      <w:lvlText w:val="%1."/>
      <w:lvlJc w:val="left"/>
      <w:pPr>
        <w:ind w:left="720" w:hanging="360"/>
      </w:pPr>
      <w:rPr>
        <w:rFonts w:eastAsia="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8D5071E"/>
    <w:multiLevelType w:val="multilevel"/>
    <w:tmpl w:val="A5005B64"/>
    <w:lvl w:ilvl="0">
      <w:start w:val="1"/>
      <w:numFmt w:val="decimal"/>
      <w:lvlText w:val="%1."/>
      <w:lvlJc w:val="left"/>
      <w:pPr>
        <w:ind w:left="502" w:hanging="360"/>
      </w:pPr>
      <w:rPr>
        <w:color w:val="000000" w:themeColor="text1"/>
      </w:rPr>
    </w:lvl>
    <w:lvl w:ilvl="1">
      <w:start w:val="1"/>
      <w:numFmt w:val="decimal"/>
      <w:isLgl/>
      <w:lvlText w:val="%1.%2"/>
      <w:lvlJc w:val="left"/>
      <w:pPr>
        <w:ind w:left="502" w:hanging="360"/>
      </w:pPr>
      <w:rPr>
        <w:rFonts w:eastAsia="PMingLiU" w:hint="default"/>
      </w:rPr>
    </w:lvl>
    <w:lvl w:ilvl="2">
      <w:start w:val="1"/>
      <w:numFmt w:val="decimal"/>
      <w:isLgl/>
      <w:lvlText w:val="%1.%2.%3"/>
      <w:lvlJc w:val="left"/>
      <w:pPr>
        <w:ind w:left="862" w:hanging="720"/>
      </w:pPr>
      <w:rPr>
        <w:rFonts w:eastAsia="PMingLiU" w:hint="default"/>
      </w:rPr>
    </w:lvl>
    <w:lvl w:ilvl="3">
      <w:start w:val="1"/>
      <w:numFmt w:val="decimal"/>
      <w:isLgl/>
      <w:lvlText w:val="%1.%2.%3.%4"/>
      <w:lvlJc w:val="left"/>
      <w:pPr>
        <w:ind w:left="1222" w:hanging="1080"/>
      </w:pPr>
      <w:rPr>
        <w:rFonts w:eastAsia="PMingLiU" w:hint="default"/>
      </w:rPr>
    </w:lvl>
    <w:lvl w:ilvl="4">
      <w:start w:val="1"/>
      <w:numFmt w:val="decimal"/>
      <w:isLgl/>
      <w:lvlText w:val="%1.%2.%3.%4.%5"/>
      <w:lvlJc w:val="left"/>
      <w:pPr>
        <w:ind w:left="1222" w:hanging="1080"/>
      </w:pPr>
      <w:rPr>
        <w:rFonts w:eastAsia="PMingLiU" w:hint="default"/>
      </w:rPr>
    </w:lvl>
    <w:lvl w:ilvl="5">
      <w:start w:val="1"/>
      <w:numFmt w:val="decimal"/>
      <w:isLgl/>
      <w:lvlText w:val="%1.%2.%3.%4.%5.%6"/>
      <w:lvlJc w:val="left"/>
      <w:pPr>
        <w:ind w:left="1582" w:hanging="1440"/>
      </w:pPr>
      <w:rPr>
        <w:rFonts w:eastAsia="PMingLiU" w:hint="default"/>
      </w:rPr>
    </w:lvl>
    <w:lvl w:ilvl="6">
      <w:start w:val="1"/>
      <w:numFmt w:val="decimal"/>
      <w:isLgl/>
      <w:lvlText w:val="%1.%2.%3.%4.%5.%6.%7"/>
      <w:lvlJc w:val="left"/>
      <w:pPr>
        <w:ind w:left="1582" w:hanging="1440"/>
      </w:pPr>
      <w:rPr>
        <w:rFonts w:eastAsia="PMingLiU" w:hint="default"/>
      </w:rPr>
    </w:lvl>
    <w:lvl w:ilvl="7">
      <w:start w:val="1"/>
      <w:numFmt w:val="decimal"/>
      <w:isLgl/>
      <w:lvlText w:val="%1.%2.%3.%4.%5.%6.%7.%8"/>
      <w:lvlJc w:val="left"/>
      <w:pPr>
        <w:ind w:left="1942" w:hanging="1800"/>
      </w:pPr>
      <w:rPr>
        <w:rFonts w:eastAsia="PMingLiU" w:hint="default"/>
      </w:rPr>
    </w:lvl>
    <w:lvl w:ilvl="8">
      <w:start w:val="1"/>
      <w:numFmt w:val="decimal"/>
      <w:isLgl/>
      <w:lvlText w:val="%1.%2.%3.%4.%5.%6.%7.%8.%9"/>
      <w:lvlJc w:val="left"/>
      <w:pPr>
        <w:ind w:left="2302" w:hanging="2160"/>
      </w:pPr>
      <w:rPr>
        <w:rFonts w:eastAsia="PMingLiU" w:hint="default"/>
      </w:rPr>
    </w:lvl>
  </w:abstractNum>
  <w:abstractNum w:abstractNumId="8" w15:restartNumberingAfterBreak="0">
    <w:nsid w:val="3A6879B1"/>
    <w:multiLevelType w:val="hybridMultilevel"/>
    <w:tmpl w:val="4F9EC3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DED4718"/>
    <w:multiLevelType w:val="hybridMultilevel"/>
    <w:tmpl w:val="4F9EC3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55A71F90"/>
    <w:multiLevelType w:val="hybridMultilevel"/>
    <w:tmpl w:val="1DBC0E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6A9F3228"/>
    <w:multiLevelType w:val="hybridMultilevel"/>
    <w:tmpl w:val="9FC619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692412761">
    <w:abstractNumId w:val="5"/>
  </w:num>
  <w:num w:numId="2" w16cid:durableId="880555850">
    <w:abstractNumId w:val="0"/>
  </w:num>
  <w:num w:numId="3" w16cid:durableId="428160752">
    <w:abstractNumId w:val="5"/>
  </w:num>
  <w:num w:numId="4" w16cid:durableId="1026297308">
    <w:abstractNumId w:val="0"/>
  </w:num>
  <w:num w:numId="5" w16cid:durableId="2056852186">
    <w:abstractNumId w:val="2"/>
  </w:num>
  <w:num w:numId="6" w16cid:durableId="1277563480">
    <w:abstractNumId w:val="0"/>
  </w:num>
  <w:num w:numId="7" w16cid:durableId="2095933584">
    <w:abstractNumId w:val="0"/>
  </w:num>
  <w:num w:numId="8" w16cid:durableId="633412233">
    <w:abstractNumId w:val="1"/>
  </w:num>
  <w:num w:numId="9" w16cid:durableId="568730246">
    <w:abstractNumId w:val="0"/>
  </w:num>
  <w:num w:numId="10" w16cid:durableId="272515127">
    <w:abstractNumId w:val="5"/>
  </w:num>
  <w:num w:numId="11" w16cid:durableId="792017455">
    <w:abstractNumId w:val="3"/>
  </w:num>
  <w:num w:numId="12" w16cid:durableId="1546019388">
    <w:abstractNumId w:val="5"/>
  </w:num>
  <w:num w:numId="13" w16cid:durableId="479544976">
    <w:abstractNumId w:val="0"/>
  </w:num>
  <w:num w:numId="14" w16cid:durableId="1771197404">
    <w:abstractNumId w:val="0"/>
  </w:num>
  <w:num w:numId="15" w16cid:durableId="588125009">
    <w:abstractNumId w:val="0"/>
  </w:num>
  <w:num w:numId="16" w16cid:durableId="1971588363">
    <w:abstractNumId w:val="0"/>
  </w:num>
  <w:num w:numId="17" w16cid:durableId="215237762">
    <w:abstractNumId w:val="4"/>
  </w:num>
  <w:num w:numId="18" w16cid:durableId="1340623662">
    <w:abstractNumId w:val="9"/>
  </w:num>
  <w:num w:numId="19" w16cid:durableId="1184321467">
    <w:abstractNumId w:val="8"/>
  </w:num>
  <w:num w:numId="20" w16cid:durableId="768811125">
    <w:abstractNumId w:val="11"/>
  </w:num>
  <w:num w:numId="21" w16cid:durableId="385447224">
    <w:abstractNumId w:val="10"/>
  </w:num>
  <w:num w:numId="22" w16cid:durableId="1031607878">
    <w:abstractNumId w:val="6"/>
  </w:num>
  <w:num w:numId="23" w16cid:durableId="1261792945">
    <w:abstractNumId w:val="7"/>
  </w:num>
  <w:num w:numId="24" w16cid:durableId="773672951">
    <w:abstractNumId w:val="7"/>
  </w:num>
  <w:num w:numId="25" w16cid:durableId="49422005">
    <w:abstractNumId w:val="7"/>
  </w:num>
  <w:num w:numId="26" w16cid:durableId="2167408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doNotShadeFormData/>
  <w:characterSpacingControl w:val="compressPunctuation"/>
  <w:savePreviewPicture/>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CwMDe1MDC2NDeysDBW0lEKTi0uzszPAykwNKkFADno/UUtAAAA"/>
  </w:docVars>
  <w:rsids>
    <w:rsidRoot w:val="00172A27"/>
    <w:rsid w:val="0000038C"/>
    <w:rsid w:val="00001C35"/>
    <w:rsid w:val="00001D04"/>
    <w:rsid w:val="00002192"/>
    <w:rsid w:val="00002994"/>
    <w:rsid w:val="00004591"/>
    <w:rsid w:val="00004D0E"/>
    <w:rsid w:val="0000589F"/>
    <w:rsid w:val="00005AB4"/>
    <w:rsid w:val="00007CB7"/>
    <w:rsid w:val="00014153"/>
    <w:rsid w:val="00014A33"/>
    <w:rsid w:val="0001722B"/>
    <w:rsid w:val="000342BF"/>
    <w:rsid w:val="0004307A"/>
    <w:rsid w:val="000455BF"/>
    <w:rsid w:val="000516E1"/>
    <w:rsid w:val="00054530"/>
    <w:rsid w:val="00055CCC"/>
    <w:rsid w:val="00060406"/>
    <w:rsid w:val="0006407D"/>
    <w:rsid w:val="00067224"/>
    <w:rsid w:val="00072591"/>
    <w:rsid w:val="0007284E"/>
    <w:rsid w:val="000735E4"/>
    <w:rsid w:val="00075AEF"/>
    <w:rsid w:val="00077394"/>
    <w:rsid w:val="000826E5"/>
    <w:rsid w:val="000831F4"/>
    <w:rsid w:val="0008333A"/>
    <w:rsid w:val="00085193"/>
    <w:rsid w:val="000906FB"/>
    <w:rsid w:val="000914BE"/>
    <w:rsid w:val="00093A7A"/>
    <w:rsid w:val="00093E25"/>
    <w:rsid w:val="000A0DD8"/>
    <w:rsid w:val="000A0E48"/>
    <w:rsid w:val="000A1C53"/>
    <w:rsid w:val="000A2722"/>
    <w:rsid w:val="000A2D30"/>
    <w:rsid w:val="000A4619"/>
    <w:rsid w:val="000B2A6E"/>
    <w:rsid w:val="000B5779"/>
    <w:rsid w:val="000C131C"/>
    <w:rsid w:val="000C3A1B"/>
    <w:rsid w:val="000C5E2D"/>
    <w:rsid w:val="000C6BF8"/>
    <w:rsid w:val="000C7E00"/>
    <w:rsid w:val="000D1248"/>
    <w:rsid w:val="000D1258"/>
    <w:rsid w:val="000D1391"/>
    <w:rsid w:val="000D25DD"/>
    <w:rsid w:val="000D30C3"/>
    <w:rsid w:val="000D3F5E"/>
    <w:rsid w:val="000D5670"/>
    <w:rsid w:val="000E08ED"/>
    <w:rsid w:val="000E1B4D"/>
    <w:rsid w:val="000E50B5"/>
    <w:rsid w:val="000F0666"/>
    <w:rsid w:val="000F2F13"/>
    <w:rsid w:val="000F4A34"/>
    <w:rsid w:val="000F5249"/>
    <w:rsid w:val="000F5618"/>
    <w:rsid w:val="000F7847"/>
    <w:rsid w:val="00103568"/>
    <w:rsid w:val="00103928"/>
    <w:rsid w:val="00103CB3"/>
    <w:rsid w:val="0010473F"/>
    <w:rsid w:val="0010555D"/>
    <w:rsid w:val="00105FC3"/>
    <w:rsid w:val="00106839"/>
    <w:rsid w:val="00111221"/>
    <w:rsid w:val="0011341E"/>
    <w:rsid w:val="00113D5A"/>
    <w:rsid w:val="00114BE7"/>
    <w:rsid w:val="001152C8"/>
    <w:rsid w:val="00115F32"/>
    <w:rsid w:val="001177A1"/>
    <w:rsid w:val="001239A8"/>
    <w:rsid w:val="00125F9E"/>
    <w:rsid w:val="00126C66"/>
    <w:rsid w:val="001308D2"/>
    <w:rsid w:val="00130A5D"/>
    <w:rsid w:val="00131740"/>
    <w:rsid w:val="0014130B"/>
    <w:rsid w:val="00141F13"/>
    <w:rsid w:val="001421A8"/>
    <w:rsid w:val="00143595"/>
    <w:rsid w:val="00145265"/>
    <w:rsid w:val="00145B67"/>
    <w:rsid w:val="00150376"/>
    <w:rsid w:val="00153D88"/>
    <w:rsid w:val="00161C29"/>
    <w:rsid w:val="0016299E"/>
    <w:rsid w:val="00162AAA"/>
    <w:rsid w:val="001645D4"/>
    <w:rsid w:val="001656DC"/>
    <w:rsid w:val="00170C1A"/>
    <w:rsid w:val="00171B17"/>
    <w:rsid w:val="00172A27"/>
    <w:rsid w:val="00175F33"/>
    <w:rsid w:val="00187AE4"/>
    <w:rsid w:val="00190E32"/>
    <w:rsid w:val="00191B72"/>
    <w:rsid w:val="00193853"/>
    <w:rsid w:val="00193E5D"/>
    <w:rsid w:val="00194D12"/>
    <w:rsid w:val="0019767D"/>
    <w:rsid w:val="00197D3A"/>
    <w:rsid w:val="001A02CC"/>
    <w:rsid w:val="001A13D6"/>
    <w:rsid w:val="001A55FF"/>
    <w:rsid w:val="001A5B43"/>
    <w:rsid w:val="001B2C3A"/>
    <w:rsid w:val="001C1B02"/>
    <w:rsid w:val="001D069C"/>
    <w:rsid w:val="001D0BF9"/>
    <w:rsid w:val="001D5E11"/>
    <w:rsid w:val="001D6AA6"/>
    <w:rsid w:val="001E2FB9"/>
    <w:rsid w:val="001E3696"/>
    <w:rsid w:val="001E4B24"/>
    <w:rsid w:val="001E69BA"/>
    <w:rsid w:val="001F2B57"/>
    <w:rsid w:val="001F75FA"/>
    <w:rsid w:val="0020639F"/>
    <w:rsid w:val="002105C2"/>
    <w:rsid w:val="0021257A"/>
    <w:rsid w:val="0021549B"/>
    <w:rsid w:val="00215937"/>
    <w:rsid w:val="0023013B"/>
    <w:rsid w:val="0023044D"/>
    <w:rsid w:val="002413B5"/>
    <w:rsid w:val="0024147C"/>
    <w:rsid w:val="00241885"/>
    <w:rsid w:val="00242780"/>
    <w:rsid w:val="00243287"/>
    <w:rsid w:val="00244783"/>
    <w:rsid w:val="00244F6F"/>
    <w:rsid w:val="002457E0"/>
    <w:rsid w:val="00250DCD"/>
    <w:rsid w:val="002556CC"/>
    <w:rsid w:val="00256981"/>
    <w:rsid w:val="00256FE4"/>
    <w:rsid w:val="00262ED6"/>
    <w:rsid w:val="002667E7"/>
    <w:rsid w:val="0027438C"/>
    <w:rsid w:val="00280C14"/>
    <w:rsid w:val="00281F1A"/>
    <w:rsid w:val="00282C51"/>
    <w:rsid w:val="002901DB"/>
    <w:rsid w:val="00293952"/>
    <w:rsid w:val="0029449D"/>
    <w:rsid w:val="00295666"/>
    <w:rsid w:val="00296211"/>
    <w:rsid w:val="00297DFB"/>
    <w:rsid w:val="002A08CF"/>
    <w:rsid w:val="002A5831"/>
    <w:rsid w:val="002B2D6F"/>
    <w:rsid w:val="002B4071"/>
    <w:rsid w:val="002C4E75"/>
    <w:rsid w:val="002C60B4"/>
    <w:rsid w:val="002C7E8F"/>
    <w:rsid w:val="002D049E"/>
    <w:rsid w:val="002D310D"/>
    <w:rsid w:val="002D3CAC"/>
    <w:rsid w:val="002D7696"/>
    <w:rsid w:val="002E14E6"/>
    <w:rsid w:val="002E60BD"/>
    <w:rsid w:val="002F3476"/>
    <w:rsid w:val="002F7855"/>
    <w:rsid w:val="002F7D7A"/>
    <w:rsid w:val="0030003D"/>
    <w:rsid w:val="003041F1"/>
    <w:rsid w:val="0030499A"/>
    <w:rsid w:val="00304CB0"/>
    <w:rsid w:val="0031263A"/>
    <w:rsid w:val="00314130"/>
    <w:rsid w:val="00321CD7"/>
    <w:rsid w:val="00322CE9"/>
    <w:rsid w:val="0033137F"/>
    <w:rsid w:val="00332265"/>
    <w:rsid w:val="0033257D"/>
    <w:rsid w:val="00332D42"/>
    <w:rsid w:val="00333466"/>
    <w:rsid w:val="00333D96"/>
    <w:rsid w:val="00337292"/>
    <w:rsid w:val="00340D6F"/>
    <w:rsid w:val="00341772"/>
    <w:rsid w:val="00341AFA"/>
    <w:rsid w:val="003515A6"/>
    <w:rsid w:val="0035488D"/>
    <w:rsid w:val="00360DC8"/>
    <w:rsid w:val="00363F6B"/>
    <w:rsid w:val="003643AC"/>
    <w:rsid w:val="0036657A"/>
    <w:rsid w:val="00370684"/>
    <w:rsid w:val="00371C7A"/>
    <w:rsid w:val="00372F1F"/>
    <w:rsid w:val="0038026E"/>
    <w:rsid w:val="00380984"/>
    <w:rsid w:val="00382911"/>
    <w:rsid w:val="00382A9C"/>
    <w:rsid w:val="00382DB8"/>
    <w:rsid w:val="0038323C"/>
    <w:rsid w:val="003840B9"/>
    <w:rsid w:val="003905A1"/>
    <w:rsid w:val="0039087E"/>
    <w:rsid w:val="00392215"/>
    <w:rsid w:val="00396259"/>
    <w:rsid w:val="003A30A4"/>
    <w:rsid w:val="003A3D50"/>
    <w:rsid w:val="003A3E56"/>
    <w:rsid w:val="003A56D0"/>
    <w:rsid w:val="003A6B87"/>
    <w:rsid w:val="003A7CFE"/>
    <w:rsid w:val="003B1D15"/>
    <w:rsid w:val="003B486C"/>
    <w:rsid w:val="003B49C8"/>
    <w:rsid w:val="003B54E5"/>
    <w:rsid w:val="003B5F66"/>
    <w:rsid w:val="003B67E9"/>
    <w:rsid w:val="003C0FBA"/>
    <w:rsid w:val="003C195A"/>
    <w:rsid w:val="003C4E97"/>
    <w:rsid w:val="003C5C8B"/>
    <w:rsid w:val="003C6520"/>
    <w:rsid w:val="003D557A"/>
    <w:rsid w:val="003E10F6"/>
    <w:rsid w:val="003E119D"/>
    <w:rsid w:val="003E77EF"/>
    <w:rsid w:val="003F0F45"/>
    <w:rsid w:val="003F133C"/>
    <w:rsid w:val="003F6380"/>
    <w:rsid w:val="003F641D"/>
    <w:rsid w:val="003F7557"/>
    <w:rsid w:val="003F770D"/>
    <w:rsid w:val="004052BA"/>
    <w:rsid w:val="00406D72"/>
    <w:rsid w:val="00406DF8"/>
    <w:rsid w:val="004145AD"/>
    <w:rsid w:val="00422BB2"/>
    <w:rsid w:val="004261E2"/>
    <w:rsid w:val="00431B48"/>
    <w:rsid w:val="0043382B"/>
    <w:rsid w:val="00434EBE"/>
    <w:rsid w:val="0043744B"/>
    <w:rsid w:val="00442232"/>
    <w:rsid w:val="00446E16"/>
    <w:rsid w:val="004534AD"/>
    <w:rsid w:val="00455E3D"/>
    <w:rsid w:val="00462DFC"/>
    <w:rsid w:val="00463A34"/>
    <w:rsid w:val="00464271"/>
    <w:rsid w:val="00466B3A"/>
    <w:rsid w:val="00471332"/>
    <w:rsid w:val="00472814"/>
    <w:rsid w:val="004741A1"/>
    <w:rsid w:val="00484164"/>
    <w:rsid w:val="004855ED"/>
    <w:rsid w:val="00486130"/>
    <w:rsid w:val="00492D24"/>
    <w:rsid w:val="00495A97"/>
    <w:rsid w:val="00497ACB"/>
    <w:rsid w:val="00497BCF"/>
    <w:rsid w:val="004A1C46"/>
    <w:rsid w:val="004A67E7"/>
    <w:rsid w:val="004B1098"/>
    <w:rsid w:val="004B20D7"/>
    <w:rsid w:val="004B25F7"/>
    <w:rsid w:val="004B5A59"/>
    <w:rsid w:val="004B7C31"/>
    <w:rsid w:val="004C0209"/>
    <w:rsid w:val="004C1643"/>
    <w:rsid w:val="004C2888"/>
    <w:rsid w:val="004C6B82"/>
    <w:rsid w:val="004D216D"/>
    <w:rsid w:val="004D4806"/>
    <w:rsid w:val="004D6A4D"/>
    <w:rsid w:val="004D7C76"/>
    <w:rsid w:val="004E2431"/>
    <w:rsid w:val="004E5ABD"/>
    <w:rsid w:val="004F07D5"/>
    <w:rsid w:val="004F185C"/>
    <w:rsid w:val="004F6ACC"/>
    <w:rsid w:val="004F6DD0"/>
    <w:rsid w:val="005004E1"/>
    <w:rsid w:val="005018B4"/>
    <w:rsid w:val="00503E83"/>
    <w:rsid w:val="00504537"/>
    <w:rsid w:val="00505DD2"/>
    <w:rsid w:val="00510ABB"/>
    <w:rsid w:val="00522A10"/>
    <w:rsid w:val="00523C18"/>
    <w:rsid w:val="00524ECF"/>
    <w:rsid w:val="005254E7"/>
    <w:rsid w:val="00525AF7"/>
    <w:rsid w:val="0052723D"/>
    <w:rsid w:val="00530D91"/>
    <w:rsid w:val="005323AB"/>
    <w:rsid w:val="00535D1D"/>
    <w:rsid w:val="00535F0D"/>
    <w:rsid w:val="00537246"/>
    <w:rsid w:val="00542A1D"/>
    <w:rsid w:val="00546597"/>
    <w:rsid w:val="00547129"/>
    <w:rsid w:val="0054770A"/>
    <w:rsid w:val="00547759"/>
    <w:rsid w:val="00556A40"/>
    <w:rsid w:val="00556FBD"/>
    <w:rsid w:val="00557D2A"/>
    <w:rsid w:val="005605D4"/>
    <w:rsid w:val="00561075"/>
    <w:rsid w:val="00564B40"/>
    <w:rsid w:val="00564F1E"/>
    <w:rsid w:val="00567313"/>
    <w:rsid w:val="005723D2"/>
    <w:rsid w:val="0057444C"/>
    <w:rsid w:val="00576001"/>
    <w:rsid w:val="0057726D"/>
    <w:rsid w:val="00582BC4"/>
    <w:rsid w:val="0059521F"/>
    <w:rsid w:val="005966F3"/>
    <w:rsid w:val="0059781D"/>
    <w:rsid w:val="005A2216"/>
    <w:rsid w:val="005A228C"/>
    <w:rsid w:val="005A25D7"/>
    <w:rsid w:val="005A2783"/>
    <w:rsid w:val="005A2919"/>
    <w:rsid w:val="005B3CF3"/>
    <w:rsid w:val="005B464C"/>
    <w:rsid w:val="005C3868"/>
    <w:rsid w:val="005C5B67"/>
    <w:rsid w:val="005C739F"/>
    <w:rsid w:val="005D0C58"/>
    <w:rsid w:val="005D15E6"/>
    <w:rsid w:val="005D4BC5"/>
    <w:rsid w:val="005F0A9C"/>
    <w:rsid w:val="005F3481"/>
    <w:rsid w:val="005F47A5"/>
    <w:rsid w:val="005F5B77"/>
    <w:rsid w:val="005F7400"/>
    <w:rsid w:val="005F7C4A"/>
    <w:rsid w:val="005F7D4B"/>
    <w:rsid w:val="00606841"/>
    <w:rsid w:val="0061001D"/>
    <w:rsid w:val="00623887"/>
    <w:rsid w:val="006304F9"/>
    <w:rsid w:val="0063277B"/>
    <w:rsid w:val="006352FB"/>
    <w:rsid w:val="00635D1D"/>
    <w:rsid w:val="00636007"/>
    <w:rsid w:val="00636069"/>
    <w:rsid w:val="00641AC6"/>
    <w:rsid w:val="006424FC"/>
    <w:rsid w:val="00646854"/>
    <w:rsid w:val="006505B0"/>
    <w:rsid w:val="00650BDA"/>
    <w:rsid w:val="006535E9"/>
    <w:rsid w:val="006537E1"/>
    <w:rsid w:val="00654724"/>
    <w:rsid w:val="00656169"/>
    <w:rsid w:val="00657C12"/>
    <w:rsid w:val="00660333"/>
    <w:rsid w:val="0066415C"/>
    <w:rsid w:val="00670226"/>
    <w:rsid w:val="006727D1"/>
    <w:rsid w:val="006737D9"/>
    <w:rsid w:val="00675536"/>
    <w:rsid w:val="00675ACE"/>
    <w:rsid w:val="00675DFE"/>
    <w:rsid w:val="00681B1F"/>
    <w:rsid w:val="00682103"/>
    <w:rsid w:val="00685DAD"/>
    <w:rsid w:val="00687174"/>
    <w:rsid w:val="006872CB"/>
    <w:rsid w:val="006909C7"/>
    <w:rsid w:val="00690D9F"/>
    <w:rsid w:val="00690F89"/>
    <w:rsid w:val="00693F68"/>
    <w:rsid w:val="006954E5"/>
    <w:rsid w:val="0069666E"/>
    <w:rsid w:val="006A4D1F"/>
    <w:rsid w:val="006A52AF"/>
    <w:rsid w:val="006B352A"/>
    <w:rsid w:val="006B5107"/>
    <w:rsid w:val="006C010A"/>
    <w:rsid w:val="006C6C0A"/>
    <w:rsid w:val="006C706A"/>
    <w:rsid w:val="006C7228"/>
    <w:rsid w:val="006C7ADE"/>
    <w:rsid w:val="006D14CA"/>
    <w:rsid w:val="006D18A3"/>
    <w:rsid w:val="006D2CF4"/>
    <w:rsid w:val="006D5642"/>
    <w:rsid w:val="006E0257"/>
    <w:rsid w:val="006E1760"/>
    <w:rsid w:val="006E1DE0"/>
    <w:rsid w:val="006F0484"/>
    <w:rsid w:val="006F4B7C"/>
    <w:rsid w:val="006F5236"/>
    <w:rsid w:val="006F56AF"/>
    <w:rsid w:val="006F5AB1"/>
    <w:rsid w:val="006F5C62"/>
    <w:rsid w:val="006F5E71"/>
    <w:rsid w:val="007023C5"/>
    <w:rsid w:val="0070356E"/>
    <w:rsid w:val="007038EE"/>
    <w:rsid w:val="007067F1"/>
    <w:rsid w:val="00712870"/>
    <w:rsid w:val="00713EE7"/>
    <w:rsid w:val="007142A4"/>
    <w:rsid w:val="00720711"/>
    <w:rsid w:val="0072117C"/>
    <w:rsid w:val="00733E5C"/>
    <w:rsid w:val="00742FBE"/>
    <w:rsid w:val="007470E8"/>
    <w:rsid w:val="0074773C"/>
    <w:rsid w:val="007508F8"/>
    <w:rsid w:val="00751248"/>
    <w:rsid w:val="007531C2"/>
    <w:rsid w:val="007546A9"/>
    <w:rsid w:val="00754887"/>
    <w:rsid w:val="0075560A"/>
    <w:rsid w:val="00756889"/>
    <w:rsid w:val="007617E2"/>
    <w:rsid w:val="00765D4A"/>
    <w:rsid w:val="0077037C"/>
    <w:rsid w:val="007706DB"/>
    <w:rsid w:val="00770C9D"/>
    <w:rsid w:val="00780E37"/>
    <w:rsid w:val="00781BE0"/>
    <w:rsid w:val="007862A0"/>
    <w:rsid w:val="00787096"/>
    <w:rsid w:val="00792A84"/>
    <w:rsid w:val="00795ABA"/>
    <w:rsid w:val="00796FF1"/>
    <w:rsid w:val="007974FA"/>
    <w:rsid w:val="00797A33"/>
    <w:rsid w:val="007A77EC"/>
    <w:rsid w:val="007B468E"/>
    <w:rsid w:val="007B5C20"/>
    <w:rsid w:val="007B7B3D"/>
    <w:rsid w:val="007C1A42"/>
    <w:rsid w:val="007C42C4"/>
    <w:rsid w:val="007C508C"/>
    <w:rsid w:val="007C5365"/>
    <w:rsid w:val="007C648C"/>
    <w:rsid w:val="007D5EFB"/>
    <w:rsid w:val="007D5F02"/>
    <w:rsid w:val="007E7AF8"/>
    <w:rsid w:val="007E7CC4"/>
    <w:rsid w:val="007F6638"/>
    <w:rsid w:val="0080227D"/>
    <w:rsid w:val="00804394"/>
    <w:rsid w:val="00810733"/>
    <w:rsid w:val="00814960"/>
    <w:rsid w:val="00815A66"/>
    <w:rsid w:val="0082112E"/>
    <w:rsid w:val="0082263D"/>
    <w:rsid w:val="008250EF"/>
    <w:rsid w:val="00833044"/>
    <w:rsid w:val="008357E7"/>
    <w:rsid w:val="0083676F"/>
    <w:rsid w:val="0084135B"/>
    <w:rsid w:val="00851B84"/>
    <w:rsid w:val="00852BD5"/>
    <w:rsid w:val="00854EB2"/>
    <w:rsid w:val="00856C31"/>
    <w:rsid w:val="0085720F"/>
    <w:rsid w:val="00860970"/>
    <w:rsid w:val="00862761"/>
    <w:rsid w:val="00864166"/>
    <w:rsid w:val="008676AD"/>
    <w:rsid w:val="0087119F"/>
    <w:rsid w:val="00871B50"/>
    <w:rsid w:val="00871D13"/>
    <w:rsid w:val="00875FF2"/>
    <w:rsid w:val="0087680A"/>
    <w:rsid w:val="00876934"/>
    <w:rsid w:val="0088033A"/>
    <w:rsid w:val="00881714"/>
    <w:rsid w:val="00883110"/>
    <w:rsid w:val="00890DD3"/>
    <w:rsid w:val="00890F47"/>
    <w:rsid w:val="008A0076"/>
    <w:rsid w:val="008A0F47"/>
    <w:rsid w:val="008A20BB"/>
    <w:rsid w:val="008A6B99"/>
    <w:rsid w:val="008A6BBD"/>
    <w:rsid w:val="008B1E9F"/>
    <w:rsid w:val="008B6FD1"/>
    <w:rsid w:val="008C45EE"/>
    <w:rsid w:val="008C5049"/>
    <w:rsid w:val="008C5D78"/>
    <w:rsid w:val="008C685C"/>
    <w:rsid w:val="008D4BD6"/>
    <w:rsid w:val="008E3424"/>
    <w:rsid w:val="008E5046"/>
    <w:rsid w:val="008E68DB"/>
    <w:rsid w:val="008F0F62"/>
    <w:rsid w:val="008F197E"/>
    <w:rsid w:val="008F3FAD"/>
    <w:rsid w:val="008F4A17"/>
    <w:rsid w:val="008F4A47"/>
    <w:rsid w:val="008F70D7"/>
    <w:rsid w:val="008F7C9D"/>
    <w:rsid w:val="00901B61"/>
    <w:rsid w:val="00904645"/>
    <w:rsid w:val="009065CE"/>
    <w:rsid w:val="00906E02"/>
    <w:rsid w:val="00911D77"/>
    <w:rsid w:val="00922790"/>
    <w:rsid w:val="00923647"/>
    <w:rsid w:val="00924D37"/>
    <w:rsid w:val="00926771"/>
    <w:rsid w:val="009268F3"/>
    <w:rsid w:val="00930AE5"/>
    <w:rsid w:val="0093612C"/>
    <w:rsid w:val="0093631B"/>
    <w:rsid w:val="00936FC8"/>
    <w:rsid w:val="009453D1"/>
    <w:rsid w:val="0094660B"/>
    <w:rsid w:val="00951985"/>
    <w:rsid w:val="009530E6"/>
    <w:rsid w:val="00954639"/>
    <w:rsid w:val="00956A18"/>
    <w:rsid w:val="00962914"/>
    <w:rsid w:val="00963FE3"/>
    <w:rsid w:val="00965845"/>
    <w:rsid w:val="0096762E"/>
    <w:rsid w:val="009719A6"/>
    <w:rsid w:val="00972E86"/>
    <w:rsid w:val="00974818"/>
    <w:rsid w:val="00976286"/>
    <w:rsid w:val="00980B53"/>
    <w:rsid w:val="00981A5C"/>
    <w:rsid w:val="009824A8"/>
    <w:rsid w:val="0098697D"/>
    <w:rsid w:val="00993FB5"/>
    <w:rsid w:val="009976CC"/>
    <w:rsid w:val="009A3FE3"/>
    <w:rsid w:val="009A49BD"/>
    <w:rsid w:val="009A4EAD"/>
    <w:rsid w:val="009A5359"/>
    <w:rsid w:val="009A545F"/>
    <w:rsid w:val="009B6F44"/>
    <w:rsid w:val="009D3E21"/>
    <w:rsid w:val="009D40C7"/>
    <w:rsid w:val="009D4B2C"/>
    <w:rsid w:val="009D5872"/>
    <w:rsid w:val="009E0DD3"/>
    <w:rsid w:val="009E0E92"/>
    <w:rsid w:val="009E1B5A"/>
    <w:rsid w:val="009E26B2"/>
    <w:rsid w:val="009E2BF9"/>
    <w:rsid w:val="009E2C9B"/>
    <w:rsid w:val="009E7786"/>
    <w:rsid w:val="009F0971"/>
    <w:rsid w:val="009F3204"/>
    <w:rsid w:val="009F3DA7"/>
    <w:rsid w:val="009F3F6A"/>
    <w:rsid w:val="009F5EAA"/>
    <w:rsid w:val="009F68F1"/>
    <w:rsid w:val="009F77A6"/>
    <w:rsid w:val="009F7DA7"/>
    <w:rsid w:val="00A02422"/>
    <w:rsid w:val="00A0320C"/>
    <w:rsid w:val="00A07CD5"/>
    <w:rsid w:val="00A15E2F"/>
    <w:rsid w:val="00A16381"/>
    <w:rsid w:val="00A17767"/>
    <w:rsid w:val="00A26E46"/>
    <w:rsid w:val="00A27CF9"/>
    <w:rsid w:val="00A305FB"/>
    <w:rsid w:val="00A311E4"/>
    <w:rsid w:val="00A31630"/>
    <w:rsid w:val="00A31DCD"/>
    <w:rsid w:val="00A35D69"/>
    <w:rsid w:val="00A37CE4"/>
    <w:rsid w:val="00A44642"/>
    <w:rsid w:val="00A47366"/>
    <w:rsid w:val="00A51292"/>
    <w:rsid w:val="00A523B6"/>
    <w:rsid w:val="00A57970"/>
    <w:rsid w:val="00A6153D"/>
    <w:rsid w:val="00A630A7"/>
    <w:rsid w:val="00A634B2"/>
    <w:rsid w:val="00A71170"/>
    <w:rsid w:val="00A713C8"/>
    <w:rsid w:val="00A74564"/>
    <w:rsid w:val="00A74F74"/>
    <w:rsid w:val="00A91B2C"/>
    <w:rsid w:val="00A94FB7"/>
    <w:rsid w:val="00A95B62"/>
    <w:rsid w:val="00A9732E"/>
    <w:rsid w:val="00AA0D52"/>
    <w:rsid w:val="00AA6827"/>
    <w:rsid w:val="00AA724E"/>
    <w:rsid w:val="00AB3880"/>
    <w:rsid w:val="00AB3FB3"/>
    <w:rsid w:val="00AB47E8"/>
    <w:rsid w:val="00AC1A02"/>
    <w:rsid w:val="00AC3AF6"/>
    <w:rsid w:val="00AD0161"/>
    <w:rsid w:val="00AD22CB"/>
    <w:rsid w:val="00AD2629"/>
    <w:rsid w:val="00AD5C42"/>
    <w:rsid w:val="00AE15AB"/>
    <w:rsid w:val="00AE67BA"/>
    <w:rsid w:val="00AF0EB9"/>
    <w:rsid w:val="00AF64CE"/>
    <w:rsid w:val="00B05D30"/>
    <w:rsid w:val="00B05FF3"/>
    <w:rsid w:val="00B06EED"/>
    <w:rsid w:val="00B100A5"/>
    <w:rsid w:val="00B10EB8"/>
    <w:rsid w:val="00B13A0E"/>
    <w:rsid w:val="00B14BC1"/>
    <w:rsid w:val="00B22BB5"/>
    <w:rsid w:val="00B23F52"/>
    <w:rsid w:val="00B346C1"/>
    <w:rsid w:val="00B34837"/>
    <w:rsid w:val="00B379DC"/>
    <w:rsid w:val="00B37EB3"/>
    <w:rsid w:val="00B42539"/>
    <w:rsid w:val="00B46328"/>
    <w:rsid w:val="00B47C3A"/>
    <w:rsid w:val="00B5213B"/>
    <w:rsid w:val="00B57E44"/>
    <w:rsid w:val="00B60B11"/>
    <w:rsid w:val="00B6274C"/>
    <w:rsid w:val="00B62FA1"/>
    <w:rsid w:val="00B6328B"/>
    <w:rsid w:val="00B64A55"/>
    <w:rsid w:val="00B65F38"/>
    <w:rsid w:val="00B809DB"/>
    <w:rsid w:val="00B81052"/>
    <w:rsid w:val="00B8398E"/>
    <w:rsid w:val="00B86F28"/>
    <w:rsid w:val="00B8746A"/>
    <w:rsid w:val="00B9020F"/>
    <w:rsid w:val="00B92BD2"/>
    <w:rsid w:val="00B93B2A"/>
    <w:rsid w:val="00B94C21"/>
    <w:rsid w:val="00BA02BF"/>
    <w:rsid w:val="00BA2F8A"/>
    <w:rsid w:val="00BA3090"/>
    <w:rsid w:val="00BA3E02"/>
    <w:rsid w:val="00BA4C27"/>
    <w:rsid w:val="00BA5CFF"/>
    <w:rsid w:val="00BA7062"/>
    <w:rsid w:val="00BA7E19"/>
    <w:rsid w:val="00BA7E2C"/>
    <w:rsid w:val="00BB4477"/>
    <w:rsid w:val="00BB792C"/>
    <w:rsid w:val="00BC1C0E"/>
    <w:rsid w:val="00BC2933"/>
    <w:rsid w:val="00BC54DC"/>
    <w:rsid w:val="00BC606F"/>
    <w:rsid w:val="00BC6226"/>
    <w:rsid w:val="00BC6E6A"/>
    <w:rsid w:val="00BD0DE2"/>
    <w:rsid w:val="00BE20D8"/>
    <w:rsid w:val="00BE2F06"/>
    <w:rsid w:val="00BE2FA3"/>
    <w:rsid w:val="00BE31DF"/>
    <w:rsid w:val="00BE7797"/>
    <w:rsid w:val="00BF2872"/>
    <w:rsid w:val="00BF411B"/>
    <w:rsid w:val="00BF6041"/>
    <w:rsid w:val="00BF660D"/>
    <w:rsid w:val="00BF718F"/>
    <w:rsid w:val="00C02D6C"/>
    <w:rsid w:val="00C03916"/>
    <w:rsid w:val="00C07721"/>
    <w:rsid w:val="00C07EC3"/>
    <w:rsid w:val="00C10E07"/>
    <w:rsid w:val="00C114FB"/>
    <w:rsid w:val="00C119D3"/>
    <w:rsid w:val="00C12352"/>
    <w:rsid w:val="00C1789C"/>
    <w:rsid w:val="00C237D2"/>
    <w:rsid w:val="00C23B38"/>
    <w:rsid w:val="00C241A8"/>
    <w:rsid w:val="00C27A28"/>
    <w:rsid w:val="00C31267"/>
    <w:rsid w:val="00C315BE"/>
    <w:rsid w:val="00C33362"/>
    <w:rsid w:val="00C3376A"/>
    <w:rsid w:val="00C338B4"/>
    <w:rsid w:val="00C33EC3"/>
    <w:rsid w:val="00C35C2C"/>
    <w:rsid w:val="00C360ED"/>
    <w:rsid w:val="00C365A6"/>
    <w:rsid w:val="00C409DA"/>
    <w:rsid w:val="00C41EDE"/>
    <w:rsid w:val="00C42830"/>
    <w:rsid w:val="00C46020"/>
    <w:rsid w:val="00C517AF"/>
    <w:rsid w:val="00C5307E"/>
    <w:rsid w:val="00C547D1"/>
    <w:rsid w:val="00C56D5F"/>
    <w:rsid w:val="00C57179"/>
    <w:rsid w:val="00C62F80"/>
    <w:rsid w:val="00C66E00"/>
    <w:rsid w:val="00C708D7"/>
    <w:rsid w:val="00C71B65"/>
    <w:rsid w:val="00C71F71"/>
    <w:rsid w:val="00C73EA4"/>
    <w:rsid w:val="00C74DA8"/>
    <w:rsid w:val="00C77624"/>
    <w:rsid w:val="00C8720B"/>
    <w:rsid w:val="00C90347"/>
    <w:rsid w:val="00C91CCA"/>
    <w:rsid w:val="00C9539D"/>
    <w:rsid w:val="00CA53F6"/>
    <w:rsid w:val="00CA7154"/>
    <w:rsid w:val="00CB0DB2"/>
    <w:rsid w:val="00CB0DBE"/>
    <w:rsid w:val="00CB2824"/>
    <w:rsid w:val="00CB59E7"/>
    <w:rsid w:val="00CB59E9"/>
    <w:rsid w:val="00CC1170"/>
    <w:rsid w:val="00CC4665"/>
    <w:rsid w:val="00CC6E1F"/>
    <w:rsid w:val="00CC7267"/>
    <w:rsid w:val="00CD21B1"/>
    <w:rsid w:val="00CD21E1"/>
    <w:rsid w:val="00CD3E4A"/>
    <w:rsid w:val="00CE4C46"/>
    <w:rsid w:val="00CF1D15"/>
    <w:rsid w:val="00CF35D0"/>
    <w:rsid w:val="00CF4081"/>
    <w:rsid w:val="00CF40D2"/>
    <w:rsid w:val="00CF4E93"/>
    <w:rsid w:val="00CF7F47"/>
    <w:rsid w:val="00D001BF"/>
    <w:rsid w:val="00D05D6A"/>
    <w:rsid w:val="00D079DB"/>
    <w:rsid w:val="00D10DCF"/>
    <w:rsid w:val="00D11D59"/>
    <w:rsid w:val="00D14D47"/>
    <w:rsid w:val="00D16163"/>
    <w:rsid w:val="00D16B91"/>
    <w:rsid w:val="00D2060A"/>
    <w:rsid w:val="00D21ED8"/>
    <w:rsid w:val="00D23AEE"/>
    <w:rsid w:val="00D25540"/>
    <w:rsid w:val="00D2616E"/>
    <w:rsid w:val="00D276EF"/>
    <w:rsid w:val="00D3118A"/>
    <w:rsid w:val="00D31C1A"/>
    <w:rsid w:val="00D35141"/>
    <w:rsid w:val="00D376CB"/>
    <w:rsid w:val="00D403E6"/>
    <w:rsid w:val="00D43D8E"/>
    <w:rsid w:val="00D44212"/>
    <w:rsid w:val="00D467B8"/>
    <w:rsid w:val="00D472C3"/>
    <w:rsid w:val="00D55E18"/>
    <w:rsid w:val="00D56BCB"/>
    <w:rsid w:val="00D61008"/>
    <w:rsid w:val="00D65F6C"/>
    <w:rsid w:val="00D70C44"/>
    <w:rsid w:val="00D70C53"/>
    <w:rsid w:val="00D70FF6"/>
    <w:rsid w:val="00D73BDC"/>
    <w:rsid w:val="00D75272"/>
    <w:rsid w:val="00D76B04"/>
    <w:rsid w:val="00D76D77"/>
    <w:rsid w:val="00D878DC"/>
    <w:rsid w:val="00D917F5"/>
    <w:rsid w:val="00D93957"/>
    <w:rsid w:val="00D95234"/>
    <w:rsid w:val="00D967EF"/>
    <w:rsid w:val="00DA3BBA"/>
    <w:rsid w:val="00DA5728"/>
    <w:rsid w:val="00DA64B2"/>
    <w:rsid w:val="00DA777B"/>
    <w:rsid w:val="00DA7879"/>
    <w:rsid w:val="00DB269C"/>
    <w:rsid w:val="00DB2FC3"/>
    <w:rsid w:val="00DB4254"/>
    <w:rsid w:val="00DB73BF"/>
    <w:rsid w:val="00DC21DA"/>
    <w:rsid w:val="00DD044E"/>
    <w:rsid w:val="00DD5BDB"/>
    <w:rsid w:val="00DD5CC2"/>
    <w:rsid w:val="00DD606A"/>
    <w:rsid w:val="00DD75A5"/>
    <w:rsid w:val="00DE1D76"/>
    <w:rsid w:val="00DE423B"/>
    <w:rsid w:val="00DE5018"/>
    <w:rsid w:val="00DE63AB"/>
    <w:rsid w:val="00DE6959"/>
    <w:rsid w:val="00DE6E9E"/>
    <w:rsid w:val="00DF0670"/>
    <w:rsid w:val="00DF0D87"/>
    <w:rsid w:val="00DF1606"/>
    <w:rsid w:val="00DF1A8F"/>
    <w:rsid w:val="00DF45EA"/>
    <w:rsid w:val="00DF5278"/>
    <w:rsid w:val="00DF5DB2"/>
    <w:rsid w:val="00DF6067"/>
    <w:rsid w:val="00DF7200"/>
    <w:rsid w:val="00DF7554"/>
    <w:rsid w:val="00E037F0"/>
    <w:rsid w:val="00E04F08"/>
    <w:rsid w:val="00E10515"/>
    <w:rsid w:val="00E113A2"/>
    <w:rsid w:val="00E15611"/>
    <w:rsid w:val="00E21A18"/>
    <w:rsid w:val="00E2235C"/>
    <w:rsid w:val="00E22F9B"/>
    <w:rsid w:val="00E25202"/>
    <w:rsid w:val="00E2766D"/>
    <w:rsid w:val="00E3047D"/>
    <w:rsid w:val="00E31583"/>
    <w:rsid w:val="00E338D6"/>
    <w:rsid w:val="00E33E80"/>
    <w:rsid w:val="00E359E1"/>
    <w:rsid w:val="00E368DD"/>
    <w:rsid w:val="00E42B2D"/>
    <w:rsid w:val="00E4728A"/>
    <w:rsid w:val="00E52571"/>
    <w:rsid w:val="00E52BC5"/>
    <w:rsid w:val="00E52D47"/>
    <w:rsid w:val="00E54776"/>
    <w:rsid w:val="00E5491F"/>
    <w:rsid w:val="00E55B21"/>
    <w:rsid w:val="00E6345F"/>
    <w:rsid w:val="00E823EA"/>
    <w:rsid w:val="00E84DE0"/>
    <w:rsid w:val="00E86B78"/>
    <w:rsid w:val="00E9238F"/>
    <w:rsid w:val="00E93614"/>
    <w:rsid w:val="00E9564F"/>
    <w:rsid w:val="00EA2023"/>
    <w:rsid w:val="00EA489A"/>
    <w:rsid w:val="00EA6555"/>
    <w:rsid w:val="00EA70CE"/>
    <w:rsid w:val="00EA73D9"/>
    <w:rsid w:val="00EB2CDA"/>
    <w:rsid w:val="00EB3719"/>
    <w:rsid w:val="00EB61A7"/>
    <w:rsid w:val="00EB6C9E"/>
    <w:rsid w:val="00EC4888"/>
    <w:rsid w:val="00EC4DFE"/>
    <w:rsid w:val="00EC59B9"/>
    <w:rsid w:val="00ED0380"/>
    <w:rsid w:val="00ED06D7"/>
    <w:rsid w:val="00ED0D15"/>
    <w:rsid w:val="00ED35C6"/>
    <w:rsid w:val="00ED7D8B"/>
    <w:rsid w:val="00ED7F06"/>
    <w:rsid w:val="00EE12A6"/>
    <w:rsid w:val="00EE3371"/>
    <w:rsid w:val="00EE34BC"/>
    <w:rsid w:val="00EE365A"/>
    <w:rsid w:val="00EE7225"/>
    <w:rsid w:val="00EE7B02"/>
    <w:rsid w:val="00EF1043"/>
    <w:rsid w:val="00EF2B02"/>
    <w:rsid w:val="00EF3A43"/>
    <w:rsid w:val="00EF510E"/>
    <w:rsid w:val="00F00432"/>
    <w:rsid w:val="00F04212"/>
    <w:rsid w:val="00F11996"/>
    <w:rsid w:val="00F1210A"/>
    <w:rsid w:val="00F128D2"/>
    <w:rsid w:val="00F17290"/>
    <w:rsid w:val="00F238ED"/>
    <w:rsid w:val="00F25F3B"/>
    <w:rsid w:val="00F30481"/>
    <w:rsid w:val="00F32A47"/>
    <w:rsid w:val="00F32CBE"/>
    <w:rsid w:val="00F32F0F"/>
    <w:rsid w:val="00F408ED"/>
    <w:rsid w:val="00F412C9"/>
    <w:rsid w:val="00F53FA2"/>
    <w:rsid w:val="00F553C3"/>
    <w:rsid w:val="00F603E0"/>
    <w:rsid w:val="00F60695"/>
    <w:rsid w:val="00F61190"/>
    <w:rsid w:val="00F619CB"/>
    <w:rsid w:val="00F639DF"/>
    <w:rsid w:val="00F6544C"/>
    <w:rsid w:val="00F65E62"/>
    <w:rsid w:val="00F707ED"/>
    <w:rsid w:val="00F75A41"/>
    <w:rsid w:val="00F816C9"/>
    <w:rsid w:val="00F83393"/>
    <w:rsid w:val="00F84FED"/>
    <w:rsid w:val="00F8538A"/>
    <w:rsid w:val="00F9418A"/>
    <w:rsid w:val="00F946AA"/>
    <w:rsid w:val="00F95C20"/>
    <w:rsid w:val="00F962B7"/>
    <w:rsid w:val="00FA3085"/>
    <w:rsid w:val="00FA408E"/>
    <w:rsid w:val="00FA697F"/>
    <w:rsid w:val="00FB15AE"/>
    <w:rsid w:val="00FB2151"/>
    <w:rsid w:val="00FB65B2"/>
    <w:rsid w:val="00FB70C3"/>
    <w:rsid w:val="00FC0C06"/>
    <w:rsid w:val="00FC291D"/>
    <w:rsid w:val="00FC538D"/>
    <w:rsid w:val="00FC5EFF"/>
    <w:rsid w:val="00FD2BF4"/>
    <w:rsid w:val="00FE0009"/>
    <w:rsid w:val="00FE5713"/>
    <w:rsid w:val="00FF14F1"/>
    <w:rsid w:val="00FF68F3"/>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E76335"/>
  <w15:docId w15:val="{446AA3F5-C0A0-4DA9-8842-B49F35C59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F38"/>
    <w:pPr>
      <w:widowControl w:val="0"/>
      <w:jc w:val="both"/>
    </w:pPr>
    <w:rPr>
      <w:kern w:val="2"/>
      <w:sz w:val="21"/>
      <w:szCs w:val="21"/>
      <w:lang w:val="en-US" w:eastAsia="zh-CN"/>
    </w:rPr>
  </w:style>
  <w:style w:type="paragraph" w:styleId="Heading1">
    <w:name w:val="heading 1"/>
    <w:basedOn w:val="Normal"/>
    <w:next w:val="Normal"/>
    <w:link w:val="Heading1Char"/>
    <w:qFormat/>
    <w:rsid w:val="00B65F38"/>
    <w:pPr>
      <w:keepNext/>
      <w:keepLines/>
      <w:spacing w:before="340" w:after="330" w:line="578" w:lineRule="auto"/>
      <w:outlineLvl w:val="0"/>
    </w:pPr>
    <w:rPr>
      <w:b/>
      <w:bCs/>
      <w:kern w:val="44"/>
      <w:sz w:val="44"/>
      <w:szCs w:val="44"/>
    </w:rPr>
  </w:style>
  <w:style w:type="paragraph" w:styleId="Heading3">
    <w:name w:val="heading 3"/>
    <w:basedOn w:val="Normal"/>
    <w:next w:val="Normal"/>
    <w:link w:val="Heading3Char"/>
    <w:qFormat/>
    <w:rsid w:val="00B65F38"/>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4-Saintis-References-content">
    <w:name w:val="34-Saintis-References-content"/>
    <w:basedOn w:val="Normal"/>
    <w:autoRedefine/>
    <w:qFormat/>
    <w:rsid w:val="004E5ABD"/>
    <w:pPr>
      <w:adjustRightInd w:val="0"/>
      <w:snapToGrid w:val="0"/>
      <w:spacing w:after="60" w:line="240" w:lineRule="exact"/>
      <w:ind w:left="567" w:hanging="567"/>
    </w:pPr>
    <w:rPr>
      <w:rFonts w:ascii="Century Schoolbook" w:eastAsia="Times New Roman" w:hAnsi="Century Schoolbook"/>
      <w:sz w:val="18"/>
      <w:szCs w:val="18"/>
    </w:rPr>
  </w:style>
  <w:style w:type="paragraph" w:customStyle="1" w:styleId="43-Saintis-Text-with-Bulleted">
    <w:name w:val="43-Saintis-Text-with-Bulleted"/>
    <w:basedOn w:val="34-Saintis-References-content"/>
    <w:rsid w:val="00B65F38"/>
    <w:pPr>
      <w:numPr>
        <w:numId w:val="3"/>
      </w:numPr>
      <w:spacing w:after="0"/>
    </w:pPr>
    <w:rPr>
      <w:rFonts w:ascii="Calibri" w:eastAsia="SimSun" w:hAnsi="Calibri"/>
      <w:sz w:val="20"/>
    </w:rPr>
  </w:style>
  <w:style w:type="character" w:customStyle="1" w:styleId="HeaderChar">
    <w:name w:val="Header Char"/>
    <w:basedOn w:val="DefaultParagraphFont"/>
    <w:link w:val="Header"/>
    <w:rsid w:val="00B65F38"/>
    <w:rPr>
      <w:rFonts w:ascii="Calibri" w:eastAsia="SimSun" w:hAnsi="Calibri" w:cs="Times New Roman"/>
      <w:sz w:val="18"/>
      <w:szCs w:val="18"/>
    </w:rPr>
  </w:style>
  <w:style w:type="paragraph" w:styleId="Header">
    <w:name w:val="header"/>
    <w:basedOn w:val="Normal"/>
    <w:link w:val="HeaderChar"/>
    <w:rsid w:val="00B65F38"/>
    <w:pPr>
      <w:pBdr>
        <w:bottom w:val="single" w:sz="6" w:space="1" w:color="auto"/>
      </w:pBdr>
      <w:tabs>
        <w:tab w:val="center" w:pos="4153"/>
        <w:tab w:val="right" w:pos="8306"/>
      </w:tabs>
      <w:snapToGrid w:val="0"/>
      <w:jc w:val="center"/>
    </w:pPr>
    <w:rPr>
      <w:sz w:val="18"/>
      <w:szCs w:val="18"/>
    </w:rPr>
  </w:style>
  <w:style w:type="character" w:customStyle="1" w:styleId="FooterChar">
    <w:name w:val="Footer Char"/>
    <w:basedOn w:val="DefaultParagraphFont"/>
    <w:link w:val="Footer"/>
    <w:uiPriority w:val="99"/>
    <w:rsid w:val="00B65F38"/>
    <w:rPr>
      <w:rFonts w:ascii="Calibri" w:eastAsia="SimSun" w:hAnsi="Calibri" w:cs="Times New Roman"/>
      <w:sz w:val="18"/>
      <w:szCs w:val="18"/>
    </w:rPr>
  </w:style>
  <w:style w:type="paragraph" w:styleId="Footer">
    <w:name w:val="footer"/>
    <w:basedOn w:val="Normal"/>
    <w:link w:val="FooterChar"/>
    <w:uiPriority w:val="99"/>
    <w:rsid w:val="00B65F38"/>
    <w:pPr>
      <w:tabs>
        <w:tab w:val="center" w:pos="4153"/>
        <w:tab w:val="right" w:pos="8306"/>
      </w:tabs>
      <w:snapToGrid w:val="0"/>
      <w:jc w:val="left"/>
    </w:pPr>
    <w:rPr>
      <w:sz w:val="18"/>
      <w:szCs w:val="18"/>
    </w:rPr>
  </w:style>
  <w:style w:type="paragraph" w:customStyle="1" w:styleId="04-Saintis-Author">
    <w:name w:val="04-Saintis-Author"/>
    <w:basedOn w:val="Normal"/>
    <w:qFormat/>
    <w:rsid w:val="00EA6555"/>
    <w:pPr>
      <w:adjustRightInd w:val="0"/>
      <w:snapToGrid w:val="0"/>
      <w:spacing w:before="240" w:after="160" w:line="280" w:lineRule="exact"/>
      <w:jc w:val="left"/>
    </w:pPr>
    <w:rPr>
      <w:rFonts w:ascii="Trebuchet MS" w:eastAsia="Arial" w:hAnsi="Trebuchet MS" w:cstheme="minorHAnsi"/>
      <w:b/>
      <w:color w:val="000000"/>
      <w:sz w:val="18"/>
      <w:szCs w:val="18"/>
      <w:lang w:val="id-ID"/>
    </w:rPr>
  </w:style>
  <w:style w:type="paragraph" w:customStyle="1" w:styleId="05-Saintis-Affiliation">
    <w:name w:val="05-Saintis-Affiliation"/>
    <w:basedOn w:val="Normal"/>
    <w:qFormat/>
    <w:rsid w:val="00B5213B"/>
    <w:pPr>
      <w:adjustRightInd w:val="0"/>
      <w:snapToGrid w:val="0"/>
      <w:spacing w:line="220" w:lineRule="exact"/>
      <w:ind w:left="80" w:hangingChars="50" w:hanging="80"/>
      <w:jc w:val="left"/>
    </w:pPr>
    <w:rPr>
      <w:rFonts w:ascii="Trebuchet MS" w:hAnsi="Trebuchet MS" w:cstheme="minorHAnsi"/>
      <w:color w:val="000000"/>
      <w:sz w:val="16"/>
      <w:szCs w:val="16"/>
      <w:lang w:val="id-ID"/>
    </w:rPr>
  </w:style>
  <w:style w:type="paragraph" w:customStyle="1" w:styleId="09-Saintis-To-cite-this-article-content">
    <w:name w:val="09-Saintis-To-cite-this-article-content"/>
    <w:basedOn w:val="Normal"/>
    <w:rsid w:val="00B65F38"/>
    <w:pPr>
      <w:adjustRightInd w:val="0"/>
      <w:snapToGrid w:val="0"/>
      <w:spacing w:line="240" w:lineRule="exact"/>
      <w:jc w:val="left"/>
    </w:pPr>
    <w:rPr>
      <w:rFonts w:ascii="Times New Roman" w:eastAsia="Times New Roman" w:hAnsi="Times New Roman"/>
      <w:sz w:val="18"/>
      <w:szCs w:val="18"/>
      <w:lang w:val="en-GB"/>
    </w:rPr>
  </w:style>
  <w:style w:type="paragraph" w:customStyle="1" w:styleId="Articlehistory">
    <w:name w:val="Articlehistory"/>
    <w:rsid w:val="00B65F38"/>
    <w:pPr>
      <w:spacing w:line="200" w:lineRule="exact"/>
    </w:pPr>
    <w:rPr>
      <w:rFonts w:ascii="Times New Roman" w:eastAsia="Times New Roman" w:hAnsi="Times New Roman"/>
      <w:i/>
      <w:sz w:val="16"/>
      <w:lang w:val="en-US" w:eastAsia="en-US"/>
    </w:rPr>
  </w:style>
  <w:style w:type="paragraph" w:customStyle="1" w:styleId="AbstractText">
    <w:name w:val="AbstractText"/>
    <w:rsid w:val="00B65F38"/>
    <w:pPr>
      <w:spacing w:after="80" w:line="200" w:lineRule="exact"/>
      <w:jc w:val="both"/>
    </w:pPr>
    <w:rPr>
      <w:rFonts w:ascii="Times New Roman" w:eastAsia="Times New Roman" w:hAnsi="Times New Roman"/>
      <w:lang w:eastAsia="en-US"/>
    </w:rPr>
  </w:style>
  <w:style w:type="character" w:customStyle="1" w:styleId="shorttext">
    <w:name w:val="short_text"/>
    <w:basedOn w:val="DefaultParagraphFont"/>
    <w:rsid w:val="00B65F38"/>
    <w:rPr>
      <w:rFonts w:ascii="Calibri" w:eastAsia="SimSun" w:hAnsi="Calibri" w:cs="Times New Roman"/>
    </w:rPr>
  </w:style>
  <w:style w:type="paragraph" w:customStyle="1" w:styleId="Copyright">
    <w:name w:val="Copyright"/>
    <w:basedOn w:val="AbstractText"/>
    <w:rsid w:val="00B65F38"/>
    <w:pPr>
      <w:framePr w:hSpace="187" w:wrap="around" w:vAnchor="text" w:hAnchor="text" w:y="1"/>
      <w:spacing w:after="0"/>
      <w:suppressOverlap/>
      <w:jc w:val="right"/>
    </w:pPr>
    <w:rPr>
      <w:rFonts w:ascii="Calibri" w:eastAsia="SimSun" w:hAnsi="Calibri"/>
      <w:sz w:val="17"/>
      <w:szCs w:val="14"/>
    </w:rPr>
  </w:style>
  <w:style w:type="paragraph" w:customStyle="1" w:styleId="Keyword">
    <w:name w:val="Keyword"/>
    <w:rsid w:val="00B65F38"/>
    <w:pPr>
      <w:spacing w:line="200" w:lineRule="exact"/>
    </w:pPr>
    <w:rPr>
      <w:rFonts w:ascii="Times New Roman" w:eastAsia="Times New Roman" w:hAnsi="Times New Roman"/>
      <w:sz w:val="16"/>
      <w:lang w:val="en-US" w:eastAsia="en-US"/>
    </w:rPr>
  </w:style>
  <w:style w:type="paragraph" w:customStyle="1" w:styleId="KeywordHead">
    <w:name w:val="KeywordHead"/>
    <w:next w:val="Keyword"/>
    <w:rsid w:val="00B65F38"/>
    <w:pPr>
      <w:spacing w:line="200" w:lineRule="exact"/>
    </w:pPr>
    <w:rPr>
      <w:rFonts w:ascii="Times New Roman" w:eastAsia="Times New Roman" w:hAnsi="Times New Roman"/>
      <w:i/>
      <w:noProof/>
      <w:sz w:val="16"/>
      <w:lang w:val="en-US" w:eastAsia="en-US"/>
    </w:rPr>
  </w:style>
  <w:style w:type="paragraph" w:customStyle="1" w:styleId="14-Saintis-Level1-single-line">
    <w:name w:val="14-Saintis-Level1-single-line"/>
    <w:basedOn w:val="Normal"/>
    <w:rsid w:val="00C365A6"/>
    <w:pPr>
      <w:adjustRightInd w:val="0"/>
      <w:snapToGrid w:val="0"/>
      <w:spacing w:before="120" w:after="120" w:line="240" w:lineRule="exact"/>
      <w:jc w:val="left"/>
    </w:pPr>
    <w:rPr>
      <w:rFonts w:ascii="Trebuchet MS" w:eastAsia="PMingLiU" w:hAnsi="Trebuchet MS" w:cstheme="minorHAnsi"/>
      <w:b/>
      <w:color w:val="943634" w:themeColor="accent2" w:themeShade="BF"/>
      <w:sz w:val="22"/>
      <w:szCs w:val="22"/>
      <w:lang w:val="id-ID"/>
    </w:rPr>
  </w:style>
  <w:style w:type="paragraph" w:customStyle="1" w:styleId="20-Saintis-TextParagraph">
    <w:name w:val="20-Saintis-Text Paragraph"/>
    <w:basedOn w:val="Normal"/>
    <w:qFormat/>
    <w:rsid w:val="00464271"/>
    <w:pPr>
      <w:adjustRightInd w:val="0"/>
      <w:snapToGrid w:val="0"/>
      <w:ind w:firstLine="284"/>
    </w:pPr>
    <w:rPr>
      <w:rFonts w:ascii="Century Schoolbook" w:eastAsia="Malgun Gothic" w:hAnsi="Century Schoolbook"/>
      <w:color w:val="000000"/>
      <w:sz w:val="18"/>
      <w:szCs w:val="18"/>
    </w:rPr>
  </w:style>
  <w:style w:type="paragraph" w:customStyle="1" w:styleId="15-Saintis-Level1-Multiple-line">
    <w:name w:val="15-Saintis-Level1-Multiple-line"/>
    <w:basedOn w:val="14-Saintis-Level1-single-line"/>
    <w:qFormat/>
    <w:rsid w:val="00C365A6"/>
  </w:style>
  <w:style w:type="paragraph" w:styleId="NormalWeb">
    <w:name w:val="Normal (Web)"/>
    <w:basedOn w:val="Normal"/>
    <w:rsid w:val="00B65F38"/>
    <w:pPr>
      <w:widowControl/>
      <w:spacing w:before="217" w:after="217"/>
      <w:jc w:val="left"/>
    </w:pPr>
    <w:rPr>
      <w:rFonts w:ascii="SimSun" w:hAnsi="SimSun" w:cs="SimSun"/>
      <w:kern w:val="0"/>
      <w:sz w:val="24"/>
      <w:szCs w:val="24"/>
    </w:rPr>
  </w:style>
  <w:style w:type="character" w:customStyle="1" w:styleId="ListParagraphChar">
    <w:name w:val="List Paragraph Char"/>
    <w:basedOn w:val="DefaultParagraphFont"/>
    <w:link w:val="ListParagraph"/>
    <w:rsid w:val="00B65F38"/>
    <w:rPr>
      <w:rFonts w:ascii="Calibri" w:eastAsia="SimSun" w:hAnsi="Calibri" w:cs="Times New Roman"/>
      <w:kern w:val="2"/>
      <w:sz w:val="21"/>
      <w:szCs w:val="21"/>
      <w:lang w:val="en-US" w:eastAsia="zh-CN"/>
    </w:rPr>
  </w:style>
  <w:style w:type="paragraph" w:styleId="ListParagraph">
    <w:name w:val="List Paragraph"/>
    <w:basedOn w:val="Normal"/>
    <w:link w:val="ListParagraphChar"/>
    <w:qFormat/>
    <w:rsid w:val="00B65F38"/>
    <w:pPr>
      <w:ind w:firstLineChars="200" w:firstLine="420"/>
    </w:pPr>
  </w:style>
  <w:style w:type="paragraph" w:customStyle="1" w:styleId="30-Saintis-AcknowledgementsAcknowledgements">
    <w:name w:val="30-Saintis-Acknowledgements (Acknowledgements)"/>
    <w:basedOn w:val="Normal"/>
    <w:rsid w:val="00B65F38"/>
    <w:pPr>
      <w:adjustRightInd w:val="0"/>
      <w:snapToGrid w:val="0"/>
      <w:spacing w:before="320" w:after="160" w:line="240" w:lineRule="exact"/>
      <w:jc w:val="left"/>
    </w:pPr>
    <w:rPr>
      <w:rFonts w:ascii="Times New Roman" w:eastAsia="Times New Roman" w:hAnsi="Times New Roman"/>
      <w:b/>
      <w:sz w:val="28"/>
      <w:szCs w:val="28"/>
    </w:rPr>
  </w:style>
  <w:style w:type="paragraph" w:customStyle="1" w:styleId="33-Saintis-ReferencesReferences">
    <w:name w:val="33-Saintis-References (References)"/>
    <w:basedOn w:val="Normal"/>
    <w:rsid w:val="00B65F38"/>
    <w:pPr>
      <w:adjustRightInd w:val="0"/>
      <w:snapToGrid w:val="0"/>
      <w:spacing w:before="120" w:after="160" w:line="240" w:lineRule="exact"/>
      <w:jc w:val="left"/>
    </w:pPr>
    <w:rPr>
      <w:rFonts w:ascii="Times New Roman" w:eastAsia="Times New Roman" w:hAnsi="Times New Roman"/>
      <w:b/>
      <w:sz w:val="28"/>
      <w:szCs w:val="28"/>
    </w:rPr>
  </w:style>
  <w:style w:type="character" w:customStyle="1" w:styleId="Heading1Char">
    <w:name w:val="Heading 1 Char"/>
    <w:basedOn w:val="DefaultParagraphFont"/>
    <w:link w:val="Heading1"/>
    <w:rsid w:val="00B65F38"/>
    <w:rPr>
      <w:rFonts w:ascii="Calibri" w:eastAsia="SimSun" w:hAnsi="Calibri" w:cs="Times New Roman"/>
      <w:b/>
      <w:bCs/>
      <w:kern w:val="44"/>
      <w:sz w:val="44"/>
      <w:szCs w:val="44"/>
    </w:rPr>
  </w:style>
  <w:style w:type="character" w:customStyle="1" w:styleId="Heading3Char">
    <w:name w:val="Heading 3 Char"/>
    <w:basedOn w:val="DefaultParagraphFont"/>
    <w:link w:val="Heading3"/>
    <w:rsid w:val="00B65F38"/>
    <w:rPr>
      <w:rFonts w:ascii="Calibri" w:eastAsia="SimSun" w:hAnsi="Calibri" w:cs="Times New Roman"/>
      <w:b/>
      <w:bCs/>
      <w:sz w:val="32"/>
      <w:szCs w:val="32"/>
    </w:rPr>
  </w:style>
  <w:style w:type="character" w:customStyle="1" w:styleId="01-Saintis-Issuename">
    <w:name w:val="01-Saintis-Issue name"/>
    <w:basedOn w:val="DefaultParagraphFont"/>
    <w:rsid w:val="00B65F38"/>
    <w:rPr>
      <w:rFonts w:ascii="Calibri" w:eastAsia="Times New Roman" w:hAnsi="Calibri" w:cs="Times New Roman"/>
      <w:i/>
      <w:color w:val="000000"/>
      <w:sz w:val="18"/>
      <w:u w:val="none"/>
      <w:vertAlign w:val="baseline"/>
      <w:em w:val="none"/>
    </w:rPr>
  </w:style>
  <w:style w:type="character" w:customStyle="1" w:styleId="FootnoteTextChar">
    <w:name w:val="Footnote Text Char"/>
    <w:basedOn w:val="DefaultParagraphFont"/>
    <w:link w:val="FootnoteText"/>
    <w:rsid w:val="00B65F38"/>
    <w:rPr>
      <w:rFonts w:ascii="Univers" w:eastAsia="SimSun" w:hAnsi="Univers" w:cs="Times New Roman"/>
      <w:kern w:val="0"/>
      <w:sz w:val="20"/>
      <w:szCs w:val="20"/>
      <w:lang w:val="en-GB" w:eastAsia="en-US"/>
    </w:rPr>
  </w:style>
  <w:style w:type="paragraph" w:styleId="FootnoteText">
    <w:name w:val="footnote text"/>
    <w:basedOn w:val="Normal"/>
    <w:link w:val="FootnoteTextChar"/>
    <w:rsid w:val="00B65F38"/>
    <w:pPr>
      <w:widowControl/>
      <w:jc w:val="left"/>
    </w:pPr>
    <w:rPr>
      <w:rFonts w:ascii="Univers" w:hAnsi="Univers"/>
      <w:kern w:val="0"/>
      <w:sz w:val="20"/>
      <w:szCs w:val="20"/>
      <w:lang w:val="en-GB" w:eastAsia="en-US"/>
    </w:rPr>
  </w:style>
  <w:style w:type="character" w:styleId="Hyperlink">
    <w:name w:val="Hyperlink"/>
    <w:basedOn w:val="DefaultParagraphFont"/>
    <w:rsid w:val="00B65F38"/>
    <w:rPr>
      <w:rFonts w:ascii="Calibri" w:eastAsia="SimSun" w:hAnsi="Calibri" w:cs="Times New Roman"/>
      <w:color w:val="auto"/>
      <w:sz w:val="16"/>
      <w:u w:val="none"/>
    </w:rPr>
  </w:style>
  <w:style w:type="table" w:styleId="TableGrid">
    <w:name w:val="Table Grid"/>
    <w:basedOn w:val="TableNormal"/>
    <w:uiPriority w:val="39"/>
    <w:rsid w:val="00B65F3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rsid w:val="00B65F38"/>
    <w:rPr>
      <w:rFonts w:ascii="Calibri" w:eastAsia="SimSun" w:hAnsi="Calibri" w:cs="Times New Roman"/>
      <w:sz w:val="18"/>
      <w:szCs w:val="18"/>
    </w:rPr>
  </w:style>
  <w:style w:type="paragraph" w:styleId="BalloonText">
    <w:name w:val="Balloon Text"/>
    <w:basedOn w:val="Normal"/>
    <w:link w:val="BalloonTextChar"/>
    <w:rsid w:val="00B65F38"/>
    <w:rPr>
      <w:sz w:val="18"/>
      <w:szCs w:val="18"/>
    </w:rPr>
  </w:style>
  <w:style w:type="character" w:styleId="Strong">
    <w:name w:val="Strong"/>
    <w:basedOn w:val="DefaultParagraphFont"/>
    <w:qFormat/>
    <w:rsid w:val="00B65F38"/>
    <w:rPr>
      <w:rFonts w:ascii="Calibri" w:eastAsia="SimSun" w:hAnsi="Calibri" w:cs="Times New Roman"/>
      <w:b/>
      <w:bCs/>
    </w:rPr>
  </w:style>
  <w:style w:type="paragraph" w:customStyle="1" w:styleId="02-Saintis-Paper-title">
    <w:name w:val="02-Saintis-Paper-title"/>
    <w:basedOn w:val="Normal"/>
    <w:rsid w:val="00EA6555"/>
    <w:pPr>
      <w:spacing w:line="400" w:lineRule="exact"/>
      <w:jc w:val="left"/>
    </w:pPr>
    <w:rPr>
      <w:rFonts w:ascii="Trebuchet MS" w:hAnsi="Trebuchet MS" w:cstheme="minorHAnsi"/>
      <w:b/>
      <w:color w:val="943634" w:themeColor="accent2" w:themeShade="BF"/>
      <w:sz w:val="34"/>
      <w:szCs w:val="34"/>
      <w:lang w:val="id-ID"/>
    </w:rPr>
  </w:style>
  <w:style w:type="paragraph" w:customStyle="1" w:styleId="03-Saintis-Runningtitle">
    <w:name w:val="03-Saintis-Running title"/>
    <w:basedOn w:val="02-Saintis-Paper-title"/>
    <w:rsid w:val="00B65F38"/>
    <w:pPr>
      <w:spacing w:after="160" w:line="240" w:lineRule="exact"/>
    </w:pPr>
    <w:rPr>
      <w:rFonts w:ascii="Calibri" w:hAnsi="Calibri" w:cs="Times New Roman"/>
      <w:kern w:val="0"/>
      <w:sz w:val="24"/>
    </w:rPr>
  </w:style>
  <w:style w:type="paragraph" w:customStyle="1" w:styleId="1">
    <w:name w:val="样式1"/>
    <w:basedOn w:val="Normal"/>
    <w:rsid w:val="00B65F38"/>
    <w:pPr>
      <w:snapToGrid w:val="0"/>
      <w:spacing w:line="240" w:lineRule="exact"/>
      <w:jc w:val="left"/>
    </w:pPr>
    <w:rPr>
      <w:rFonts w:ascii="Times New Roman" w:eastAsia="Times New Roman" w:hAnsi="Times New Roman"/>
      <w:sz w:val="18"/>
      <w:szCs w:val="18"/>
      <w:lang w:val="en-GB"/>
    </w:rPr>
  </w:style>
  <w:style w:type="paragraph" w:customStyle="1" w:styleId="06-Saintis-Email-address">
    <w:name w:val="06-Saintis-Email-address"/>
    <w:basedOn w:val="Normal"/>
    <w:rsid w:val="00B65F38"/>
    <w:pPr>
      <w:adjustRightInd w:val="0"/>
      <w:snapToGrid w:val="0"/>
      <w:spacing w:before="160" w:line="240" w:lineRule="exact"/>
      <w:jc w:val="left"/>
    </w:pPr>
    <w:rPr>
      <w:rFonts w:ascii="Times New Roman" w:eastAsia="Times New Roman" w:hAnsi="Times New Roman"/>
      <w:b/>
      <w:sz w:val="24"/>
    </w:rPr>
  </w:style>
  <w:style w:type="paragraph" w:customStyle="1" w:styleId="07-Saintis-Email-address-content">
    <w:name w:val="07-Saintis-Email-address-content"/>
    <w:basedOn w:val="Normal"/>
    <w:rsid w:val="00B65F38"/>
    <w:pPr>
      <w:adjustRightInd w:val="0"/>
      <w:snapToGrid w:val="0"/>
      <w:spacing w:line="240" w:lineRule="exact"/>
      <w:jc w:val="left"/>
      <w:textAlignment w:val="baseline"/>
    </w:pPr>
    <w:rPr>
      <w:rFonts w:ascii="Times New Roman" w:eastAsia="Times New Roman" w:hAnsi="Times New Roman"/>
      <w:sz w:val="18"/>
      <w:szCs w:val="18"/>
    </w:rPr>
  </w:style>
  <w:style w:type="paragraph" w:customStyle="1" w:styleId="08-Saintis-To-cite-this-article">
    <w:name w:val="08-Saintis-To-cite-this-article"/>
    <w:basedOn w:val="Normal"/>
    <w:rsid w:val="00B65F38"/>
    <w:pPr>
      <w:adjustRightInd w:val="0"/>
      <w:snapToGrid w:val="0"/>
      <w:spacing w:before="160" w:line="240" w:lineRule="exact"/>
      <w:jc w:val="left"/>
    </w:pPr>
    <w:rPr>
      <w:rFonts w:ascii="Times New Roman" w:eastAsia="Times New Roman" w:hAnsi="Times New Roman"/>
      <w:b/>
      <w:sz w:val="24"/>
    </w:rPr>
  </w:style>
  <w:style w:type="character" w:customStyle="1" w:styleId="10-Saintis-Abstract">
    <w:name w:val="10-Saintis-Abstract"/>
    <w:basedOn w:val="DefaultParagraphFont"/>
    <w:rsid w:val="00B65F38"/>
    <w:rPr>
      <w:rFonts w:ascii="Times New Roman" w:eastAsia="Times New Roman" w:hAnsi="Times New Roman" w:cs="Times New Roman"/>
      <w:b/>
      <w:sz w:val="24"/>
      <w:szCs w:val="24"/>
    </w:rPr>
  </w:style>
  <w:style w:type="paragraph" w:customStyle="1" w:styleId="11-Saintis-Abstract-content">
    <w:name w:val="11-Saintis-Abstract-content"/>
    <w:basedOn w:val="Normal"/>
    <w:rsid w:val="00B5213B"/>
    <w:pPr>
      <w:framePr w:hSpace="187" w:wrap="around" w:vAnchor="text" w:hAnchor="text" w:y="1"/>
      <w:spacing w:line="220" w:lineRule="exact"/>
      <w:suppressOverlap/>
    </w:pPr>
    <w:rPr>
      <w:rFonts w:ascii="Trebuchet MS" w:hAnsi="Trebuchet MS" w:cs="Arial"/>
      <w:color w:val="000000"/>
      <w:sz w:val="16"/>
      <w:szCs w:val="16"/>
    </w:rPr>
  </w:style>
  <w:style w:type="character" w:customStyle="1" w:styleId="12-Saintis-Keywords">
    <w:name w:val="12-Saintis-Keywords"/>
    <w:basedOn w:val="DefaultParagraphFont"/>
    <w:rsid w:val="00B65F38"/>
    <w:rPr>
      <w:rFonts w:ascii="Times New Roman" w:eastAsia="Times New Roman" w:hAnsi="Times New Roman" w:cs="Times New Roman"/>
      <w:b/>
      <w:sz w:val="24"/>
      <w:szCs w:val="24"/>
    </w:rPr>
  </w:style>
  <w:style w:type="paragraph" w:customStyle="1" w:styleId="13-Saintis-Keywords-content">
    <w:name w:val="13-Saintis-Keywords-content"/>
    <w:basedOn w:val="Normal"/>
    <w:rsid w:val="00B5213B"/>
    <w:pPr>
      <w:framePr w:hSpace="187" w:wrap="around" w:vAnchor="text" w:hAnchor="text" w:y="1"/>
      <w:spacing w:line="220" w:lineRule="exact"/>
      <w:ind w:right="142"/>
      <w:suppressOverlap/>
    </w:pPr>
    <w:rPr>
      <w:rFonts w:ascii="Trebuchet MS" w:hAnsi="Trebuchet MS" w:cstheme="minorHAnsi"/>
      <w:i/>
      <w:color w:val="000000"/>
      <w:sz w:val="16"/>
      <w:szCs w:val="16"/>
    </w:rPr>
  </w:style>
  <w:style w:type="paragraph" w:customStyle="1" w:styleId="16-Saintis-Level2-single-line">
    <w:name w:val="16-Saintis-Level2-single-line"/>
    <w:basedOn w:val="14-Saintis-Level1-single-line"/>
    <w:rsid w:val="00C365A6"/>
    <w:pPr>
      <w:ind w:left="284" w:hanging="284"/>
    </w:pPr>
    <w:rPr>
      <w:i/>
    </w:rPr>
  </w:style>
  <w:style w:type="paragraph" w:customStyle="1" w:styleId="17-Saintis-Level2-Multiple-line">
    <w:name w:val="17-Saintis-Level2-Multiple-line"/>
    <w:basedOn w:val="16-Saintis-Level2-single-line"/>
    <w:rsid w:val="00B65F38"/>
    <w:pPr>
      <w:ind w:left="361" w:hangingChars="180" w:hanging="361"/>
    </w:pPr>
    <w:rPr>
      <w:rFonts w:ascii="Calibri" w:eastAsia="SimSun" w:hAnsi="Calibri"/>
    </w:rPr>
  </w:style>
  <w:style w:type="paragraph" w:customStyle="1" w:styleId="18-Saintis-Level3-single-line">
    <w:name w:val="18-Saintis-Level3-single-line"/>
    <w:basedOn w:val="Normal"/>
    <w:rsid w:val="00B65F38"/>
    <w:pPr>
      <w:adjustRightInd w:val="0"/>
      <w:snapToGrid w:val="0"/>
      <w:spacing w:before="160" w:line="240" w:lineRule="exact"/>
    </w:pPr>
    <w:rPr>
      <w:rFonts w:ascii="Times New Roman" w:eastAsia="Times New Roman" w:hAnsi="Times New Roman"/>
      <w:b/>
      <w:i/>
      <w:sz w:val="20"/>
      <w:szCs w:val="20"/>
    </w:rPr>
  </w:style>
  <w:style w:type="paragraph" w:customStyle="1" w:styleId="19-Saintis-Level3-Multiple-line">
    <w:name w:val="19-Saintis-Level3-Multiple-line"/>
    <w:basedOn w:val="Normal"/>
    <w:rsid w:val="00B65F38"/>
    <w:pPr>
      <w:adjustRightInd w:val="0"/>
      <w:snapToGrid w:val="0"/>
      <w:spacing w:before="160" w:line="240" w:lineRule="exact"/>
      <w:ind w:left="240" w:hangingChars="240" w:hanging="240"/>
      <w:jc w:val="left"/>
    </w:pPr>
    <w:rPr>
      <w:rFonts w:ascii="Times New Roman" w:eastAsia="Times New Roman" w:hAnsi="Times New Roman"/>
      <w:b/>
      <w:i/>
      <w:sz w:val="20"/>
    </w:rPr>
  </w:style>
  <w:style w:type="paragraph" w:customStyle="1" w:styleId="21-Saintis-Figure">
    <w:name w:val="21-Saintis-Figure"/>
    <w:basedOn w:val="20-Saintis-TextParagraph"/>
    <w:rsid w:val="00293952"/>
    <w:pPr>
      <w:tabs>
        <w:tab w:val="left" w:pos="284"/>
      </w:tabs>
      <w:ind w:firstLine="0"/>
      <w:jc w:val="center"/>
    </w:pPr>
    <w:rPr>
      <w:lang w:val="id-ID"/>
    </w:rPr>
  </w:style>
  <w:style w:type="paragraph" w:customStyle="1" w:styleId="22-Saintis-Figure-caption-single-line">
    <w:name w:val="22-Saintis-Figure-caption-single-line"/>
    <w:basedOn w:val="Normal"/>
    <w:rsid w:val="00B65F38"/>
    <w:pPr>
      <w:adjustRightInd w:val="0"/>
      <w:snapToGrid w:val="0"/>
      <w:spacing w:before="100" w:after="200" w:line="200" w:lineRule="exact"/>
      <w:jc w:val="center"/>
    </w:pPr>
    <w:rPr>
      <w:rFonts w:ascii="Times New Roman" w:eastAsia="Times New Roman" w:hAnsi="Times New Roman"/>
      <w:i/>
      <w:sz w:val="16"/>
      <w:szCs w:val="16"/>
    </w:rPr>
  </w:style>
  <w:style w:type="paragraph" w:customStyle="1" w:styleId="23-Saintis-Figure-caption-multiple-lines">
    <w:name w:val="23-Saintis-Figure-caption-multiple-lines"/>
    <w:basedOn w:val="22-Saintis-Figure-caption-single-line"/>
    <w:rsid w:val="00B65F38"/>
    <w:pPr>
      <w:jc w:val="both"/>
    </w:pPr>
    <w:rPr>
      <w:rFonts w:ascii="Calibri" w:eastAsia="SimSun" w:hAnsi="Calibri"/>
    </w:rPr>
  </w:style>
  <w:style w:type="paragraph" w:customStyle="1" w:styleId="24-Saintis-Table-caption-single-line">
    <w:name w:val="24-Saintis-Table-caption-single-line"/>
    <w:basedOn w:val="Normal"/>
    <w:rsid w:val="00B65F38"/>
    <w:pPr>
      <w:tabs>
        <w:tab w:val="left" w:pos="4680"/>
      </w:tabs>
      <w:adjustRightInd w:val="0"/>
      <w:snapToGrid w:val="0"/>
      <w:spacing w:before="200" w:after="100" w:line="200" w:lineRule="exact"/>
      <w:jc w:val="center"/>
    </w:pPr>
    <w:rPr>
      <w:rFonts w:ascii="Times New Roman" w:eastAsia="Times New Roman" w:hAnsi="Times New Roman"/>
      <w:i/>
      <w:sz w:val="16"/>
      <w:szCs w:val="16"/>
    </w:rPr>
  </w:style>
  <w:style w:type="paragraph" w:customStyle="1" w:styleId="25-Saintis-Table-caption-multiple-lines">
    <w:name w:val="25-Saintis-Table-caption-multiple-lines"/>
    <w:basedOn w:val="24-Saintis-Table-caption-single-line"/>
    <w:rsid w:val="00B65F38"/>
    <w:pPr>
      <w:jc w:val="both"/>
    </w:pPr>
    <w:rPr>
      <w:rFonts w:ascii="Calibri" w:eastAsia="SimSun" w:hAnsi="Calibri"/>
    </w:rPr>
  </w:style>
  <w:style w:type="paragraph" w:customStyle="1" w:styleId="26-Saintis-Table-description">
    <w:name w:val="26-Saintis-Table-description"/>
    <w:basedOn w:val="Normal"/>
    <w:rsid w:val="00B65F38"/>
    <w:pPr>
      <w:tabs>
        <w:tab w:val="left" w:pos="4680"/>
      </w:tabs>
      <w:adjustRightInd w:val="0"/>
      <w:snapToGrid w:val="0"/>
      <w:spacing w:before="100" w:after="200" w:line="200" w:lineRule="exact"/>
      <w:jc w:val="left"/>
    </w:pPr>
    <w:rPr>
      <w:rFonts w:ascii="Times New Roman" w:eastAsia="Times New Roman" w:hAnsi="Times New Roman"/>
      <w:sz w:val="16"/>
      <w:szCs w:val="16"/>
    </w:rPr>
  </w:style>
  <w:style w:type="paragraph" w:customStyle="1" w:styleId="27-Saintis-Formula">
    <w:name w:val="27-Saintis-Formula"/>
    <w:basedOn w:val="Normal"/>
    <w:autoRedefine/>
    <w:rsid w:val="00510ABB"/>
    <w:pPr>
      <w:adjustRightInd w:val="0"/>
      <w:snapToGrid w:val="0"/>
      <w:spacing w:before="160" w:after="160"/>
      <w:jc w:val="left"/>
      <w:textAlignment w:val="center"/>
    </w:pPr>
    <w:rPr>
      <w:rFonts w:ascii="Century Schoolbook" w:eastAsia="Times New Roman" w:hAnsi="Century Schoolbook"/>
      <w:sz w:val="18"/>
      <w:szCs w:val="20"/>
    </w:rPr>
  </w:style>
  <w:style w:type="paragraph" w:customStyle="1" w:styleId="28-Saintis-Table-head">
    <w:name w:val="28*-Saintis-Table-head"/>
    <w:basedOn w:val="Normal"/>
    <w:rsid w:val="00B65F38"/>
    <w:pPr>
      <w:tabs>
        <w:tab w:val="left" w:pos="4680"/>
      </w:tabs>
      <w:adjustRightInd w:val="0"/>
      <w:snapToGrid w:val="0"/>
      <w:spacing w:line="200" w:lineRule="exact"/>
      <w:jc w:val="left"/>
    </w:pPr>
    <w:rPr>
      <w:rFonts w:ascii="Times New Roman" w:eastAsia="Times New Roman" w:hAnsi="Times New Roman"/>
      <w:b/>
      <w:sz w:val="16"/>
    </w:rPr>
  </w:style>
  <w:style w:type="paragraph" w:customStyle="1" w:styleId="28-Saintis-Table-text">
    <w:name w:val="28-Saintis-Table-text"/>
    <w:basedOn w:val="20-Saintis-TextParagraph"/>
    <w:rsid w:val="009F3F6A"/>
    <w:pPr>
      <w:spacing w:line="200" w:lineRule="exact"/>
      <w:ind w:firstLine="0"/>
      <w:jc w:val="center"/>
    </w:pPr>
    <w:rPr>
      <w:rFonts w:ascii="Calibri" w:eastAsia="SimSun" w:hAnsi="Calibri"/>
      <w:lang w:val="en-GB"/>
    </w:rPr>
  </w:style>
  <w:style w:type="paragraph" w:customStyle="1" w:styleId="29-Saintis-Text-with-Formula">
    <w:name w:val="29-Saintis-Text-with-Formula"/>
    <w:basedOn w:val="27-Saintis-Formula"/>
    <w:rsid w:val="00B65F38"/>
    <w:pPr>
      <w:spacing w:before="0" w:after="0"/>
      <w:ind w:firstLineChars="100" w:firstLine="100"/>
      <w:jc w:val="both"/>
    </w:pPr>
    <w:rPr>
      <w:rFonts w:ascii="Calibri" w:eastAsia="SimSun" w:hAnsi="Calibri"/>
    </w:rPr>
  </w:style>
  <w:style w:type="paragraph" w:customStyle="1" w:styleId="31-Saintis-Appendix">
    <w:name w:val="31-Saintis-Appendix"/>
    <w:basedOn w:val="14-Saintis-Level1-single-line"/>
    <w:rsid w:val="00B65F38"/>
    <w:rPr>
      <w:rFonts w:ascii="Calibri" w:eastAsia="SimSun" w:hAnsi="Calibri"/>
      <w:lang w:val="en-GB"/>
    </w:rPr>
  </w:style>
  <w:style w:type="paragraph" w:customStyle="1" w:styleId="32-Saintis-Nomenclature">
    <w:name w:val="32-Saintis-Nomenclature"/>
    <w:basedOn w:val="31-Saintis-Appendix"/>
    <w:rsid w:val="00B65F38"/>
  </w:style>
  <w:style w:type="paragraph" w:customStyle="1" w:styleId="35-Saintis-Footnote">
    <w:name w:val="35-Saintis-Footnote"/>
    <w:basedOn w:val="20-Saintis-TextParagraph"/>
    <w:rsid w:val="00B65F38"/>
    <w:pPr>
      <w:spacing w:line="200" w:lineRule="exact"/>
      <w:ind w:firstLine="0"/>
    </w:pPr>
    <w:rPr>
      <w:rFonts w:ascii="Calibri" w:eastAsia="SimSun" w:hAnsi="Calibri"/>
      <w:sz w:val="15"/>
    </w:rPr>
  </w:style>
  <w:style w:type="character" w:customStyle="1" w:styleId="EndnoteTextChar">
    <w:name w:val="Endnote Text Char"/>
    <w:basedOn w:val="DefaultParagraphFont"/>
    <w:link w:val="EndnoteText"/>
    <w:rsid w:val="00B65F38"/>
    <w:rPr>
      <w:rFonts w:ascii="Calibri" w:eastAsia="SimSun" w:hAnsi="Calibri" w:cs="Times New Roman"/>
    </w:rPr>
  </w:style>
  <w:style w:type="paragraph" w:styleId="EndnoteText">
    <w:name w:val="endnote text"/>
    <w:basedOn w:val="Normal"/>
    <w:link w:val="EndnoteTextChar"/>
    <w:rsid w:val="00B65F38"/>
    <w:pPr>
      <w:snapToGrid w:val="0"/>
      <w:jc w:val="left"/>
    </w:pPr>
  </w:style>
  <w:style w:type="character" w:styleId="EndnoteReference">
    <w:name w:val="endnote reference"/>
    <w:basedOn w:val="DefaultParagraphFont"/>
    <w:rsid w:val="00B65F38"/>
    <w:rPr>
      <w:rFonts w:ascii="Calibri" w:eastAsia="SimSun" w:hAnsi="Calibri" w:cs="Times New Roman"/>
      <w:vertAlign w:val="superscript"/>
    </w:rPr>
  </w:style>
  <w:style w:type="character" w:styleId="FootnoteReference">
    <w:name w:val="footnote reference"/>
    <w:basedOn w:val="DefaultParagraphFont"/>
    <w:rsid w:val="00B65F38"/>
    <w:rPr>
      <w:rFonts w:ascii="Calibri" w:eastAsia="SimSun" w:hAnsi="Calibri" w:cs="Times New Roman"/>
      <w:vertAlign w:val="superscript"/>
    </w:rPr>
  </w:style>
  <w:style w:type="paragraph" w:customStyle="1" w:styleId="36-Saintis-Biography">
    <w:name w:val="36-Saintis-Biography"/>
    <w:basedOn w:val="14-Saintis-Level1-single-line"/>
    <w:rsid w:val="00B65F38"/>
    <w:pPr>
      <w:jc w:val="both"/>
    </w:pPr>
    <w:rPr>
      <w:rFonts w:ascii="Calibri" w:eastAsia="SimSun" w:hAnsi="Calibri"/>
    </w:rPr>
  </w:style>
  <w:style w:type="paragraph" w:customStyle="1" w:styleId="37-Saintis-Biographycontent">
    <w:name w:val="37-Saintis-Biography content"/>
    <w:basedOn w:val="20-Saintis-TextParagraph"/>
    <w:autoRedefine/>
    <w:qFormat/>
    <w:rsid w:val="00193853"/>
    <w:pPr>
      <w:spacing w:after="60"/>
      <w:ind w:left="567" w:hanging="567"/>
    </w:pPr>
  </w:style>
  <w:style w:type="paragraph" w:customStyle="1" w:styleId="38-Saintis-line03">
    <w:name w:val="38-Saintis-line03"/>
    <w:basedOn w:val="Normal"/>
    <w:rsid w:val="00B65F38"/>
    <w:pPr>
      <w:adjustRightInd w:val="0"/>
      <w:snapToGrid w:val="0"/>
      <w:spacing w:before="160" w:after="80" w:line="240" w:lineRule="exact"/>
    </w:pPr>
    <w:rPr>
      <w:rFonts w:ascii="Arial" w:eastAsia="Times New Roman" w:hAnsi="Arial" w:cs="Arial"/>
      <w:b/>
      <w:sz w:val="22"/>
    </w:rPr>
  </w:style>
  <w:style w:type="paragraph" w:customStyle="1" w:styleId="39-Saintis-line04">
    <w:name w:val="39-Saintis-line04"/>
    <w:basedOn w:val="Normal"/>
    <w:rsid w:val="00B65F38"/>
    <w:pPr>
      <w:adjustRightInd w:val="0"/>
      <w:snapToGrid w:val="0"/>
      <w:spacing w:after="160" w:line="240" w:lineRule="exact"/>
    </w:pPr>
    <w:rPr>
      <w:rFonts w:ascii="Arial" w:eastAsia="Times New Roman" w:hAnsi="Arial" w:cs="Arial"/>
      <w:b/>
      <w:sz w:val="22"/>
    </w:rPr>
  </w:style>
  <w:style w:type="paragraph" w:customStyle="1" w:styleId="40-Saintis-line05">
    <w:name w:val="40-Saintis-line05"/>
    <w:basedOn w:val="Normal"/>
    <w:rsid w:val="00B65F38"/>
    <w:pPr>
      <w:adjustRightInd w:val="0"/>
      <w:snapToGrid w:val="0"/>
      <w:spacing w:before="160" w:line="240" w:lineRule="exact"/>
    </w:pPr>
    <w:rPr>
      <w:rFonts w:ascii="Times New Roman" w:hAnsi="Times New Roman"/>
      <w:b/>
      <w:sz w:val="22"/>
    </w:rPr>
  </w:style>
  <w:style w:type="paragraph" w:customStyle="1" w:styleId="41-Saintis-Formula-in-middle">
    <w:name w:val="41-Saintis-Formula-in-middle"/>
    <w:basedOn w:val="27-Saintis-Formula"/>
    <w:rsid w:val="00B65F38"/>
    <w:pPr>
      <w:jc w:val="center"/>
    </w:pPr>
    <w:rPr>
      <w:rFonts w:ascii="Calibri" w:eastAsia="SimSun" w:hAnsi="Calibri"/>
    </w:rPr>
  </w:style>
  <w:style w:type="paragraph" w:customStyle="1" w:styleId="42-Saintis-Level4-Multiple-line">
    <w:name w:val="42-Saintis-Level4-Multiple-line"/>
    <w:basedOn w:val="17-Saintis-Level2-Multiple-line"/>
    <w:rsid w:val="00B65F38"/>
    <w:pPr>
      <w:spacing w:after="0"/>
      <w:ind w:left="315" w:hangingChars="315" w:hanging="315"/>
    </w:pPr>
  </w:style>
  <w:style w:type="paragraph" w:customStyle="1" w:styleId="44-Saintis-Text-before-8-pounds">
    <w:name w:val="44-Saintis-Text-before-8-pounds"/>
    <w:basedOn w:val="20-Saintis-TextParagraph"/>
    <w:rsid w:val="00B65F38"/>
    <w:pPr>
      <w:spacing w:before="160"/>
    </w:pPr>
    <w:rPr>
      <w:rFonts w:ascii="Calibri" w:eastAsia="SimSun" w:hAnsi="Calibri"/>
    </w:rPr>
  </w:style>
  <w:style w:type="paragraph" w:customStyle="1" w:styleId="45-Saintis-Text-quote">
    <w:name w:val="45-Saintis-Text-quote"/>
    <w:basedOn w:val="20-Saintis-TextParagraph"/>
    <w:qFormat/>
    <w:rsid w:val="00796FF1"/>
    <w:pPr>
      <w:ind w:leftChars="100" w:left="100" w:firstLine="0"/>
    </w:pPr>
    <w:rPr>
      <w:rFonts w:ascii="Calibri" w:eastAsia="SimSun" w:hAnsi="Calibri"/>
    </w:rPr>
  </w:style>
  <w:style w:type="paragraph" w:customStyle="1" w:styleId="46-Saintis-Text-language-quote">
    <w:name w:val="46-Saintis-Text-language-quote"/>
    <w:basedOn w:val="20-Saintis-TextParagraph"/>
    <w:rsid w:val="00B65F38"/>
    <w:pPr>
      <w:spacing w:before="160" w:after="160"/>
      <w:ind w:leftChars="100" w:left="100" w:firstLine="0"/>
    </w:pPr>
    <w:rPr>
      <w:rFonts w:ascii="Calibri" w:eastAsia="SimSun" w:hAnsi="Calibri"/>
    </w:rPr>
  </w:style>
  <w:style w:type="paragraph" w:customStyle="1" w:styleId="47-Saintis-Text-language-quote-Before">
    <w:name w:val="47-Saintis-Text-language-quote-Before"/>
    <w:basedOn w:val="45-Saintis-Text-quote"/>
    <w:rsid w:val="00B65F38"/>
    <w:pPr>
      <w:spacing w:before="160"/>
    </w:pPr>
  </w:style>
  <w:style w:type="paragraph" w:customStyle="1" w:styleId="48-Saintis-Text-language-quote-After">
    <w:name w:val="48-Saintis-Text-language-quote-After"/>
    <w:basedOn w:val="45-Saintis-Text-quote"/>
    <w:rsid w:val="00B65F38"/>
    <w:pPr>
      <w:spacing w:after="160"/>
    </w:pPr>
  </w:style>
  <w:style w:type="paragraph" w:customStyle="1" w:styleId="49-Saintis-Text-without-indentation">
    <w:name w:val="49-Saintis-Text-without-indentation"/>
    <w:basedOn w:val="20-Saintis-TextParagraph"/>
    <w:rsid w:val="00B65F38"/>
    <w:pPr>
      <w:ind w:firstLine="0"/>
    </w:pPr>
    <w:rPr>
      <w:rFonts w:ascii="Calibri" w:eastAsia="SimSun" w:hAnsi="Calibri"/>
    </w:rPr>
  </w:style>
  <w:style w:type="paragraph" w:customStyle="1" w:styleId="50-Saintis-Figure-description-in-middle">
    <w:name w:val="50-Saintis-Figure-description-in-middle"/>
    <w:basedOn w:val="26-Saintis-Table-description"/>
    <w:rsid w:val="00B65F38"/>
    <w:pPr>
      <w:jc w:val="center"/>
    </w:pPr>
    <w:rPr>
      <w:rFonts w:ascii="Calibri" w:eastAsia="SimSun" w:hAnsi="Calibri"/>
    </w:rPr>
  </w:style>
  <w:style w:type="paragraph" w:customStyle="1" w:styleId="51-Saintis-Description-Before">
    <w:name w:val="51-Saintis-Description-Before"/>
    <w:basedOn w:val="26-Saintis-Table-description"/>
    <w:rsid w:val="00B65F38"/>
    <w:pPr>
      <w:spacing w:after="0"/>
    </w:pPr>
    <w:rPr>
      <w:rFonts w:ascii="Calibri" w:eastAsia="SimSun" w:hAnsi="Calibri"/>
    </w:rPr>
  </w:style>
  <w:style w:type="paragraph" w:customStyle="1" w:styleId="52-Saintis-Description">
    <w:name w:val="52-Saintis-Description"/>
    <w:basedOn w:val="26-Saintis-Table-description"/>
    <w:rsid w:val="00B65F38"/>
    <w:pPr>
      <w:spacing w:before="0" w:after="0"/>
    </w:pPr>
    <w:rPr>
      <w:rFonts w:ascii="Calibri" w:eastAsia="SimSun" w:hAnsi="Calibri"/>
    </w:rPr>
  </w:style>
  <w:style w:type="paragraph" w:customStyle="1" w:styleId="53-Saintis-Description-After">
    <w:name w:val="53-Saintis-Description-After"/>
    <w:basedOn w:val="26-Saintis-Table-description"/>
    <w:rsid w:val="00B65F38"/>
    <w:pPr>
      <w:spacing w:before="0"/>
    </w:pPr>
    <w:rPr>
      <w:rFonts w:ascii="Calibri" w:eastAsia="SimSun" w:hAnsi="Calibri"/>
    </w:rPr>
  </w:style>
  <w:style w:type="paragraph" w:customStyle="1" w:styleId="54-Saintis-Abstract-content-with-Formula">
    <w:name w:val="54-Saintis-Abstract-content-with-Formula"/>
    <w:basedOn w:val="27-Saintis-Formula"/>
    <w:rsid w:val="00B65F38"/>
    <w:pPr>
      <w:spacing w:before="0" w:after="0"/>
      <w:jc w:val="both"/>
    </w:pPr>
    <w:rPr>
      <w:rFonts w:ascii="Calibri" w:eastAsia="SimSun" w:hAnsi="Calibri"/>
    </w:rPr>
  </w:style>
  <w:style w:type="paragraph" w:customStyle="1" w:styleId="55-Saintis-Keywords-content-with-Formula">
    <w:name w:val="55-Saintis-Keywords-content-with-Formula"/>
    <w:basedOn w:val="27-Saintis-Formula"/>
    <w:rsid w:val="00B65F38"/>
    <w:rPr>
      <w:rFonts w:ascii="Calibri" w:eastAsia="SimSun" w:hAnsi="Calibri"/>
    </w:rPr>
  </w:style>
  <w:style w:type="paragraph" w:customStyle="1" w:styleId="56-Saintis-Level1-Multiple-line-with-Formula">
    <w:name w:val="56-Saintis-Level1-Multiple-line-with-Formula"/>
    <w:basedOn w:val="27-Saintis-Formula"/>
    <w:rsid w:val="00B65F38"/>
    <w:pPr>
      <w:spacing w:before="320"/>
      <w:ind w:left="100" w:hangingChars="100" w:hanging="100"/>
    </w:pPr>
    <w:rPr>
      <w:rFonts w:ascii="Calibri" w:eastAsia="SimSun" w:hAnsi="Calibri"/>
      <w:b/>
      <w:sz w:val="28"/>
    </w:rPr>
  </w:style>
  <w:style w:type="paragraph" w:customStyle="1" w:styleId="57-Saintis-Level2-Multiple-line-with-Formula">
    <w:name w:val="57-Saintis-Level2-Multiple-line-with-Formula"/>
    <w:basedOn w:val="27-Saintis-Formula"/>
    <w:rsid w:val="00B65F38"/>
    <w:pPr>
      <w:ind w:left="180" w:hangingChars="180" w:hanging="180"/>
    </w:pPr>
    <w:rPr>
      <w:rFonts w:ascii="Calibri" w:eastAsia="SimSun" w:hAnsi="Calibri"/>
      <w:b/>
      <w:i/>
    </w:rPr>
  </w:style>
  <w:style w:type="paragraph" w:customStyle="1" w:styleId="58-Saintis-Level3-Multiple-line-with-Formula">
    <w:name w:val="58-Saintis-Level3-Multiple-line-with-Formula"/>
    <w:basedOn w:val="27-Saintis-Formula"/>
    <w:rsid w:val="00B65F38"/>
    <w:pPr>
      <w:spacing w:after="0"/>
      <w:ind w:left="240" w:hangingChars="240" w:hanging="240"/>
    </w:pPr>
    <w:rPr>
      <w:rFonts w:ascii="Calibri" w:eastAsia="SimSun" w:hAnsi="Calibri"/>
      <w:b/>
      <w:i/>
    </w:rPr>
  </w:style>
  <w:style w:type="paragraph" w:customStyle="1" w:styleId="59-Saintis-Level4-Multiple-line-with-Formula">
    <w:name w:val="59-Saintis-Level4-Multiple-line-with-Formula"/>
    <w:basedOn w:val="27-Saintis-Formula"/>
    <w:rsid w:val="00B65F38"/>
    <w:pPr>
      <w:spacing w:after="0"/>
      <w:ind w:left="315" w:hangingChars="315" w:hanging="315"/>
    </w:pPr>
    <w:rPr>
      <w:rFonts w:ascii="Calibri" w:eastAsia="SimSun" w:hAnsi="Calibri"/>
      <w:b/>
      <w:i/>
    </w:rPr>
  </w:style>
  <w:style w:type="paragraph" w:customStyle="1" w:styleId="60-Saintis-Text-with-Bulleted-with-Formula">
    <w:name w:val="60-Saintis-Text-with-Bulleted-with-Formula"/>
    <w:basedOn w:val="43-Saintis-Text-with-Bulleted"/>
    <w:rsid w:val="00B65F38"/>
    <w:pPr>
      <w:numPr>
        <w:numId w:val="0"/>
      </w:numPr>
      <w:spacing w:line="240" w:lineRule="auto"/>
    </w:pPr>
  </w:style>
  <w:style w:type="paragraph" w:customStyle="1" w:styleId="61-Saintis-Text-before-8-pounds-with-Formula">
    <w:name w:val="61-Saintis-Text-before-8-pounds-with-Formula"/>
    <w:basedOn w:val="27-Saintis-Formula"/>
    <w:rsid w:val="00B65F38"/>
    <w:pPr>
      <w:spacing w:after="0"/>
      <w:ind w:firstLineChars="100" w:firstLine="100"/>
      <w:jc w:val="both"/>
    </w:pPr>
    <w:rPr>
      <w:rFonts w:ascii="Calibri" w:eastAsia="SimSun" w:hAnsi="Calibri"/>
    </w:rPr>
  </w:style>
  <w:style w:type="paragraph" w:customStyle="1" w:styleId="62-Saintis-Text-quote-with-Formula">
    <w:name w:val="62-Saintis-Text-quote-with-Formula"/>
    <w:basedOn w:val="27-Saintis-Formula"/>
    <w:rsid w:val="00B65F38"/>
    <w:pPr>
      <w:spacing w:before="0" w:after="0"/>
      <w:ind w:leftChars="100" w:left="100"/>
      <w:jc w:val="both"/>
    </w:pPr>
    <w:rPr>
      <w:rFonts w:ascii="Calibri" w:eastAsia="SimSun" w:hAnsi="Calibri"/>
    </w:rPr>
  </w:style>
  <w:style w:type="paragraph" w:customStyle="1" w:styleId="63-Saintis-Text-language-quote-with-Formula">
    <w:name w:val="63-Saintis-Text-language-quote-with-Formula"/>
    <w:basedOn w:val="27-Saintis-Formula"/>
    <w:rsid w:val="00B65F38"/>
    <w:pPr>
      <w:ind w:leftChars="100" w:left="100"/>
      <w:jc w:val="both"/>
    </w:pPr>
    <w:rPr>
      <w:rFonts w:ascii="Calibri" w:eastAsia="SimSun" w:hAnsi="Calibri"/>
    </w:rPr>
  </w:style>
  <w:style w:type="paragraph" w:customStyle="1" w:styleId="64-Saintis-Text-language-quote-Before-with-Formula">
    <w:name w:val="64-Saintis-Text-language-quote-Before-with-Formula"/>
    <w:basedOn w:val="47-Saintis-Text-language-quote-Before"/>
    <w:rsid w:val="00B65F38"/>
  </w:style>
  <w:style w:type="paragraph" w:customStyle="1" w:styleId="65-Saintis-Text-language-quote-After-with-Formula">
    <w:name w:val="65-Saintis-Text-language-quote-After-with-Formula"/>
    <w:basedOn w:val="48-Saintis-Text-language-quote-After"/>
    <w:rsid w:val="00B65F38"/>
  </w:style>
  <w:style w:type="paragraph" w:customStyle="1" w:styleId="66-Saintis-Text-without-indentation-with-Formula">
    <w:name w:val="66-Saintis-Text-without-indentation-with-Formula"/>
    <w:basedOn w:val="27-Saintis-Formula"/>
    <w:rsid w:val="00B65F38"/>
    <w:pPr>
      <w:spacing w:before="0" w:after="0"/>
      <w:jc w:val="both"/>
    </w:pPr>
    <w:rPr>
      <w:rFonts w:ascii="Calibri" w:eastAsia="SimSun" w:hAnsi="Calibri"/>
    </w:rPr>
  </w:style>
  <w:style w:type="paragraph" w:customStyle="1" w:styleId="67-Saintis-Figure-description-in-middle-with-Formula">
    <w:name w:val="67-Saintis-Figure-description-in-middle-with-Formula"/>
    <w:basedOn w:val="27-Saintis-Formula"/>
    <w:rsid w:val="00B65F38"/>
    <w:pPr>
      <w:spacing w:before="100" w:after="200"/>
      <w:jc w:val="center"/>
    </w:pPr>
    <w:rPr>
      <w:rFonts w:ascii="Calibri" w:eastAsia="SimSun" w:hAnsi="Calibri"/>
      <w:sz w:val="16"/>
    </w:rPr>
  </w:style>
  <w:style w:type="paragraph" w:customStyle="1" w:styleId="68-Saintis-Description-Before-with-Formula">
    <w:name w:val="68-Saintis-Description-Before-with-Formula"/>
    <w:basedOn w:val="50-Saintis-Figure-description-in-middle"/>
    <w:rsid w:val="00B65F38"/>
    <w:pPr>
      <w:spacing w:after="0" w:line="240" w:lineRule="auto"/>
    </w:pPr>
  </w:style>
  <w:style w:type="paragraph" w:customStyle="1" w:styleId="69-Saintis-Description-with-Formula">
    <w:name w:val="69-Saintis-Description-with-Formula"/>
    <w:basedOn w:val="50-Saintis-Figure-description-in-middle"/>
    <w:rsid w:val="00B65F38"/>
    <w:pPr>
      <w:spacing w:before="0" w:after="0" w:line="240" w:lineRule="auto"/>
    </w:pPr>
  </w:style>
  <w:style w:type="paragraph" w:customStyle="1" w:styleId="70-Saintis-Description-After-with-Formula">
    <w:name w:val="70-Saintis-Description-After-with-Formula"/>
    <w:basedOn w:val="50-Saintis-Figure-description-in-middle"/>
    <w:rsid w:val="00B65F38"/>
    <w:pPr>
      <w:spacing w:before="0" w:line="240" w:lineRule="auto"/>
    </w:pPr>
  </w:style>
  <w:style w:type="paragraph" w:customStyle="1" w:styleId="71-Saintis-Figure-caption-single-line-with-Formula">
    <w:name w:val="71-Saintis-Figure-caption-single-line-with-Formula"/>
    <w:basedOn w:val="27-Saintis-Formula"/>
    <w:rsid w:val="00B65F38"/>
    <w:pPr>
      <w:spacing w:before="100" w:after="200"/>
      <w:jc w:val="center"/>
    </w:pPr>
    <w:rPr>
      <w:rFonts w:ascii="Calibri" w:eastAsia="SimSun" w:hAnsi="Calibri"/>
      <w:i/>
      <w:sz w:val="16"/>
    </w:rPr>
  </w:style>
  <w:style w:type="paragraph" w:customStyle="1" w:styleId="72-Saintis-Figure-caption-multiple-lines-with-Formula">
    <w:name w:val="72-Saintis-Figure-caption-multiple-lines-with-Formula"/>
    <w:basedOn w:val="27-Saintis-Formula"/>
    <w:rsid w:val="00B65F38"/>
    <w:pPr>
      <w:spacing w:before="100" w:after="200"/>
      <w:jc w:val="both"/>
    </w:pPr>
    <w:rPr>
      <w:rFonts w:ascii="Calibri" w:eastAsia="SimSun" w:hAnsi="Calibri"/>
      <w:i/>
      <w:sz w:val="16"/>
    </w:rPr>
  </w:style>
  <w:style w:type="paragraph" w:customStyle="1" w:styleId="73-Saintis-Table-caption-single-line-with-Formula">
    <w:name w:val="73-Saintis-Table-caption-single-line-with-Formula"/>
    <w:basedOn w:val="27-Saintis-Formula"/>
    <w:rsid w:val="00B65F38"/>
    <w:pPr>
      <w:spacing w:before="200" w:after="100"/>
      <w:jc w:val="center"/>
    </w:pPr>
    <w:rPr>
      <w:rFonts w:ascii="Calibri" w:eastAsia="SimSun" w:hAnsi="Calibri"/>
      <w:i/>
      <w:sz w:val="16"/>
    </w:rPr>
  </w:style>
  <w:style w:type="paragraph" w:customStyle="1" w:styleId="74-Saintis-Table-caption-multiple-lines-with-Formula">
    <w:name w:val="74-Saintis-Table-caption-multiple-lines-with-Formula"/>
    <w:basedOn w:val="27-Saintis-Formula"/>
    <w:rsid w:val="00B65F38"/>
    <w:pPr>
      <w:spacing w:before="200" w:after="100"/>
      <w:jc w:val="both"/>
    </w:pPr>
    <w:rPr>
      <w:rFonts w:ascii="Calibri" w:eastAsia="SimSun" w:hAnsi="Calibri"/>
      <w:i/>
      <w:sz w:val="16"/>
    </w:rPr>
  </w:style>
  <w:style w:type="paragraph" w:customStyle="1" w:styleId="75-Saintis-Table-description-with-Formula">
    <w:name w:val="75-Saintis-Table-description-with-Formula"/>
    <w:basedOn w:val="27-Saintis-Formula"/>
    <w:rsid w:val="00B65F38"/>
    <w:pPr>
      <w:spacing w:before="100" w:after="200"/>
    </w:pPr>
    <w:rPr>
      <w:rFonts w:ascii="Calibri" w:eastAsia="SimSun" w:hAnsi="Calibri"/>
      <w:sz w:val="16"/>
    </w:rPr>
  </w:style>
  <w:style w:type="paragraph" w:customStyle="1" w:styleId="76-Saintis-Table-head-with-Formula">
    <w:name w:val="76*-Saintis-Table-head-with-Formula"/>
    <w:basedOn w:val="27-Saintis-Formula"/>
    <w:rsid w:val="00B65F38"/>
    <w:pPr>
      <w:spacing w:before="0" w:after="0"/>
    </w:pPr>
    <w:rPr>
      <w:rFonts w:ascii="Calibri" w:eastAsia="SimSun" w:hAnsi="Calibri"/>
      <w:b/>
      <w:sz w:val="16"/>
    </w:rPr>
  </w:style>
  <w:style w:type="paragraph" w:customStyle="1" w:styleId="76-Saintis-Table-text-with-Formula">
    <w:name w:val="76-Saintis-Table-text-with-Formula"/>
    <w:basedOn w:val="27-Saintis-Formula"/>
    <w:rsid w:val="00B65F38"/>
    <w:pPr>
      <w:spacing w:before="0" w:after="0"/>
    </w:pPr>
    <w:rPr>
      <w:rFonts w:ascii="Calibri" w:eastAsia="SimSun" w:hAnsi="Calibri"/>
      <w:sz w:val="16"/>
    </w:rPr>
  </w:style>
  <w:style w:type="paragraph" w:customStyle="1" w:styleId="77-Saintis-References-content-with-Formula">
    <w:name w:val="77-Saintis-References-content-with-Formula"/>
    <w:basedOn w:val="34-Saintis-References-content"/>
    <w:rsid w:val="00B65F38"/>
    <w:pPr>
      <w:spacing w:line="240" w:lineRule="auto"/>
      <w:ind w:left="0" w:firstLine="0"/>
      <w:textAlignment w:val="center"/>
    </w:pPr>
    <w:rPr>
      <w:rFonts w:ascii="Calibri" w:eastAsia="SimSun" w:hAnsi="Calibri"/>
    </w:rPr>
  </w:style>
  <w:style w:type="paragraph" w:customStyle="1" w:styleId="78-Saintis-Footnote-with-Formula">
    <w:name w:val="78-Saintis-Footnote-with-Formula"/>
    <w:basedOn w:val="27-Saintis-Formula"/>
    <w:rsid w:val="00B65F38"/>
    <w:pPr>
      <w:spacing w:before="0" w:after="0"/>
      <w:jc w:val="both"/>
    </w:pPr>
    <w:rPr>
      <w:rFonts w:ascii="Calibri" w:eastAsia="SimSun" w:hAnsi="Calibri"/>
      <w:sz w:val="15"/>
    </w:rPr>
  </w:style>
  <w:style w:type="paragraph" w:customStyle="1" w:styleId="AbstractHead">
    <w:name w:val="AbstractHead"/>
    <w:rsid w:val="00B65F38"/>
    <w:rPr>
      <w:rFonts w:ascii="Times New Roman" w:eastAsia="Times New Roman" w:hAnsi="Times New Roman"/>
      <w:smallCaps/>
      <w:spacing w:val="24"/>
      <w:lang w:val="en-US" w:eastAsia="en-US"/>
    </w:rPr>
  </w:style>
  <w:style w:type="paragraph" w:customStyle="1" w:styleId="HeadingMath">
    <w:name w:val="HeadingMath"/>
    <w:basedOn w:val="Normal"/>
    <w:next w:val="Normal"/>
    <w:rsid w:val="00B65F38"/>
    <w:pPr>
      <w:keepNext/>
      <w:widowControl/>
      <w:spacing w:before="260" w:line="220" w:lineRule="exact"/>
      <w:jc w:val="left"/>
    </w:pPr>
    <w:rPr>
      <w:rFonts w:ascii="Times New Roman" w:eastAsia="Times New Roman" w:hAnsi="Times New Roman"/>
      <w:smallCaps/>
      <w:kern w:val="0"/>
      <w:sz w:val="20"/>
      <w:szCs w:val="20"/>
      <w:lang w:val="en-GB" w:eastAsia="en-US"/>
    </w:rPr>
  </w:style>
  <w:style w:type="character" w:customStyle="1" w:styleId="SubtitleChar">
    <w:name w:val="Subtitle Char"/>
    <w:basedOn w:val="DefaultParagraphFont"/>
    <w:link w:val="Subtitle"/>
    <w:rsid w:val="00B65F38"/>
    <w:rPr>
      <w:rFonts w:ascii="Times New Roman" w:eastAsia="Times New Roman" w:hAnsi="Times New Roman" w:cs="Times New Roman"/>
      <w:i/>
      <w:noProof/>
      <w:sz w:val="26"/>
      <w:lang w:val="en-GB" w:eastAsia="en-US"/>
    </w:rPr>
  </w:style>
  <w:style w:type="paragraph" w:styleId="Subtitle">
    <w:name w:val="Subtitle"/>
    <w:basedOn w:val="Normal"/>
    <w:next w:val="Normal"/>
    <w:link w:val="SubtitleChar"/>
    <w:qFormat/>
    <w:rsid w:val="00B65F38"/>
    <w:pPr>
      <w:widowControl/>
      <w:spacing w:line="300" w:lineRule="exact"/>
      <w:jc w:val="left"/>
    </w:pPr>
    <w:rPr>
      <w:rFonts w:ascii="Times New Roman" w:eastAsia="Times New Roman" w:hAnsi="Times New Roman"/>
      <w:i/>
      <w:noProof/>
      <w:kern w:val="0"/>
      <w:sz w:val="26"/>
      <w:szCs w:val="20"/>
      <w:lang w:val="en-GB" w:eastAsia="en-US"/>
    </w:rPr>
  </w:style>
  <w:style w:type="paragraph" w:customStyle="1" w:styleId="FIGURECAPTION">
    <w:name w:val="FIGURE CAPTION"/>
    <w:basedOn w:val="Normal"/>
    <w:rsid w:val="00B65F38"/>
    <w:pPr>
      <w:spacing w:after="320" w:line="180" w:lineRule="exact"/>
    </w:pPr>
    <w:rPr>
      <w:rFonts w:ascii="Helvetica" w:eastAsia="Times New Roman" w:hAnsi="Helvetica"/>
      <w:kern w:val="16"/>
      <w:sz w:val="16"/>
      <w:szCs w:val="20"/>
      <w:lang w:eastAsia="en-US"/>
    </w:rPr>
  </w:style>
  <w:style w:type="paragraph" w:customStyle="1" w:styleId="ART">
    <w:name w:val="ART"/>
    <w:basedOn w:val="Normal"/>
    <w:next w:val="Normal"/>
    <w:rsid w:val="00B65F38"/>
    <w:pPr>
      <w:keepNext/>
      <w:spacing w:before="240" w:after="160" w:line="220" w:lineRule="atLeast"/>
      <w:jc w:val="center"/>
    </w:pPr>
    <w:rPr>
      <w:rFonts w:ascii="Palatino" w:eastAsia="Times New Roman" w:hAnsi="Palatino"/>
      <w:kern w:val="16"/>
      <w:sz w:val="19"/>
      <w:szCs w:val="20"/>
      <w:lang w:eastAsia="en-US"/>
    </w:rPr>
  </w:style>
  <w:style w:type="character" w:customStyle="1" w:styleId="TitleChar">
    <w:name w:val="Title Char"/>
    <w:basedOn w:val="DefaultParagraphFont"/>
    <w:link w:val="Title"/>
    <w:rsid w:val="00B65F38"/>
    <w:rPr>
      <w:rFonts w:ascii="Times New Roman" w:eastAsia="Times New Roman" w:hAnsi="Times New Roman" w:cs="Times New Roman"/>
      <w:b/>
      <w:bCs/>
      <w:sz w:val="28"/>
      <w:szCs w:val="24"/>
      <w:lang w:eastAsia="en-US"/>
    </w:rPr>
  </w:style>
  <w:style w:type="paragraph" w:styleId="Title">
    <w:name w:val="Title"/>
    <w:basedOn w:val="Normal"/>
    <w:link w:val="TitleChar"/>
    <w:qFormat/>
    <w:rsid w:val="00B65F38"/>
    <w:pPr>
      <w:widowControl/>
      <w:jc w:val="center"/>
    </w:pPr>
    <w:rPr>
      <w:rFonts w:ascii="Times New Roman" w:eastAsia="Times New Roman" w:hAnsi="Times New Roman"/>
      <w:b/>
      <w:bCs/>
      <w:kern w:val="0"/>
      <w:sz w:val="28"/>
      <w:szCs w:val="24"/>
      <w:lang w:val="id-ID" w:eastAsia="en-US"/>
    </w:rPr>
  </w:style>
  <w:style w:type="character" w:customStyle="1" w:styleId="IEEEParagraphChar">
    <w:name w:val="IEEE Paragraph Char"/>
    <w:link w:val="IEEEParagraph"/>
    <w:rsid w:val="00B65F38"/>
    <w:rPr>
      <w:rFonts w:ascii="Times New Roman" w:eastAsia="SimSun" w:hAnsi="Times New Roman" w:cs="Times New Roman"/>
      <w:szCs w:val="24"/>
      <w:lang w:val="en-AU" w:eastAsia="zh-CN"/>
    </w:rPr>
  </w:style>
  <w:style w:type="paragraph" w:customStyle="1" w:styleId="IEEEParagraph">
    <w:name w:val="IEEE Paragraph"/>
    <w:basedOn w:val="Normal"/>
    <w:link w:val="IEEEParagraphChar"/>
    <w:rsid w:val="00B65F38"/>
    <w:pPr>
      <w:widowControl/>
      <w:adjustRightInd w:val="0"/>
      <w:snapToGrid w:val="0"/>
      <w:ind w:firstLine="216"/>
    </w:pPr>
    <w:rPr>
      <w:rFonts w:ascii="Times New Roman" w:hAnsi="Times New Roman"/>
      <w:kern w:val="0"/>
      <w:sz w:val="20"/>
      <w:szCs w:val="24"/>
      <w:lang w:val="en-AU"/>
    </w:rPr>
  </w:style>
  <w:style w:type="character" w:customStyle="1" w:styleId="Style10ptJustifiedChar">
    <w:name w:val="Style 10 pt Justified Char"/>
    <w:basedOn w:val="DefaultParagraphFont"/>
    <w:link w:val="Style10ptJustified"/>
    <w:rsid w:val="00B65F38"/>
    <w:rPr>
      <w:rFonts w:ascii="Arial" w:eastAsia="MS Mincho" w:hAnsi="Arial" w:cs="Arial"/>
      <w:iCs/>
      <w:lang w:val="en-GB" w:eastAsia="en-US"/>
    </w:rPr>
  </w:style>
  <w:style w:type="paragraph" w:customStyle="1" w:styleId="Style10ptJustified">
    <w:name w:val="Style 10 pt Justified"/>
    <w:basedOn w:val="Normal"/>
    <w:link w:val="Style10ptJustifiedChar"/>
    <w:rsid w:val="00B65F38"/>
    <w:pPr>
      <w:widowControl/>
      <w:snapToGrid w:val="0"/>
      <w:ind w:firstLine="720"/>
    </w:pPr>
    <w:rPr>
      <w:rFonts w:ascii="Arial" w:eastAsia="MS Mincho" w:hAnsi="Arial" w:cs="Arial"/>
      <w:iCs/>
      <w:kern w:val="0"/>
      <w:sz w:val="20"/>
      <w:szCs w:val="20"/>
      <w:lang w:val="en-GB" w:eastAsia="en-US"/>
    </w:rPr>
  </w:style>
  <w:style w:type="paragraph" w:customStyle="1" w:styleId="IJOPCMBody">
    <w:name w:val="IJOPCM Body"/>
    <w:basedOn w:val="Normal"/>
    <w:rsid w:val="00B65F38"/>
    <w:pPr>
      <w:widowControl/>
      <w:spacing w:before="120" w:after="120"/>
    </w:pPr>
    <w:rPr>
      <w:rFonts w:ascii="Times New Roman" w:eastAsia="Batang" w:hAnsi="Times New Roman"/>
      <w:kern w:val="0"/>
      <w:sz w:val="24"/>
      <w:szCs w:val="24"/>
      <w:lang w:eastAsia="ko-KR" w:bidi="ar-JO"/>
    </w:rPr>
  </w:style>
  <w:style w:type="paragraph" w:customStyle="1" w:styleId="IJOPCMH1">
    <w:name w:val="IJOPCM H1"/>
    <w:basedOn w:val="Heading1"/>
    <w:rsid w:val="00B65F38"/>
    <w:pPr>
      <w:keepLines w:val="0"/>
      <w:widowControl/>
      <w:spacing w:before="240" w:after="240" w:line="320" w:lineRule="exact"/>
      <w:jc w:val="left"/>
    </w:pPr>
    <w:rPr>
      <w:rFonts w:ascii="Times New Roman" w:eastAsia="Batang" w:hAnsi="Times New Roman" w:cs="Arial"/>
      <w:kern w:val="32"/>
      <w:sz w:val="28"/>
      <w:szCs w:val="32"/>
      <w:lang w:eastAsia="ko-KR"/>
    </w:rPr>
  </w:style>
  <w:style w:type="paragraph" w:customStyle="1" w:styleId="PARAGRAPH">
    <w:name w:val="PARAGRAPH"/>
    <w:basedOn w:val="Normal"/>
    <w:rsid w:val="00B65F38"/>
    <w:pPr>
      <w:spacing w:line="230" w:lineRule="exact"/>
      <w:ind w:firstLine="240"/>
    </w:pPr>
    <w:rPr>
      <w:rFonts w:ascii="Palatino" w:eastAsia="Times New Roman" w:hAnsi="Palatino"/>
      <w:kern w:val="16"/>
      <w:sz w:val="19"/>
      <w:szCs w:val="20"/>
      <w:lang w:eastAsia="en-US"/>
    </w:rPr>
  </w:style>
  <w:style w:type="paragraph" w:customStyle="1" w:styleId="PARAGRAPHnoindent">
    <w:name w:val="PARAGRAPH (no indent)"/>
    <w:basedOn w:val="PARAGRAPH"/>
    <w:next w:val="PARAGRAPH"/>
    <w:rsid w:val="00B65F38"/>
    <w:pPr>
      <w:ind w:firstLine="0"/>
    </w:pPr>
    <w:rPr>
      <w:rFonts w:ascii="Calibri" w:eastAsia="SimSun" w:hAnsi="Calibri"/>
    </w:rPr>
  </w:style>
  <w:style w:type="character" w:customStyle="1" w:styleId="go">
    <w:name w:val="go"/>
    <w:basedOn w:val="DefaultParagraphFont"/>
    <w:rsid w:val="00492D24"/>
  </w:style>
  <w:style w:type="character" w:styleId="FollowedHyperlink">
    <w:name w:val="FollowedHyperlink"/>
    <w:basedOn w:val="DefaultParagraphFont"/>
    <w:uiPriority w:val="99"/>
    <w:semiHidden/>
    <w:unhideWhenUsed/>
    <w:rsid w:val="00561075"/>
    <w:rPr>
      <w:color w:val="800080" w:themeColor="followedHyperlink"/>
      <w:u w:val="single"/>
    </w:rPr>
  </w:style>
  <w:style w:type="paragraph" w:customStyle="1" w:styleId="Reference">
    <w:name w:val="Reference"/>
    <w:basedOn w:val="Normal"/>
    <w:link w:val="ReferenceChar"/>
    <w:qFormat/>
    <w:rsid w:val="00464271"/>
    <w:pPr>
      <w:keepLines/>
      <w:widowControl/>
      <w:spacing w:after="40" w:line="259" w:lineRule="auto"/>
      <w:ind w:left="567" w:hanging="567"/>
    </w:pPr>
    <w:rPr>
      <w:rFonts w:ascii="Century Schoolbook" w:eastAsiaTheme="minorHAnsi" w:hAnsi="Century Schoolbook" w:cstheme="minorBidi"/>
      <w:kern w:val="0"/>
      <w:sz w:val="18"/>
      <w:szCs w:val="22"/>
      <w:lang w:eastAsia="en-US"/>
    </w:rPr>
  </w:style>
  <w:style w:type="character" w:customStyle="1" w:styleId="ReferenceChar">
    <w:name w:val="Reference Char"/>
    <w:basedOn w:val="DefaultParagraphFont"/>
    <w:link w:val="Reference"/>
    <w:rsid w:val="00464271"/>
    <w:rPr>
      <w:rFonts w:ascii="Century Schoolbook" w:eastAsiaTheme="minorHAnsi" w:hAnsi="Century Schoolbook" w:cstheme="minorBidi"/>
      <w:sz w:val="18"/>
      <w:szCs w:val="22"/>
      <w:lang w:val="en-US" w:eastAsia="en-US"/>
    </w:rPr>
  </w:style>
  <w:style w:type="character" w:styleId="UnresolvedMention">
    <w:name w:val="Unresolved Mention"/>
    <w:basedOn w:val="DefaultParagraphFont"/>
    <w:uiPriority w:val="99"/>
    <w:semiHidden/>
    <w:unhideWhenUsed/>
    <w:rsid w:val="00001C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91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052584652@ecampus.ut.ac.i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7B3EEEF-23B3-4E55-B31A-B0ABE18A3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2857</Words>
  <Characters>16288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sciencepublishinggroup</Manager>
  <Company>sciencepublishinggroup</Company>
  <LinksUpToDate>false</LinksUpToDate>
  <CharactersWithSpaces>19107</CharactersWithSpaces>
  <SharedDoc>false</SharedDoc>
  <HLinks>
    <vt:vector size="6" baseType="variant">
      <vt:variant>
        <vt:i4>3801135</vt:i4>
      </vt:variant>
      <vt:variant>
        <vt:i4>0</vt:i4>
      </vt:variant>
      <vt:variant>
        <vt:i4>0</vt:i4>
      </vt:variant>
      <vt:variant>
        <vt:i4>5</vt:i4>
      </vt:variant>
      <vt:variant>
        <vt:lpwstr>http://creativecommons.org/licenses/by-sa/4.0/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Yanuar Trisnowati, S.E., M.M.</dc:creator>
  <cp:keywords/>
  <dc:description/>
  <cp:lastModifiedBy>Triana Zahara Nurhaliza</cp:lastModifiedBy>
  <cp:revision>3</cp:revision>
  <cp:lastPrinted>2020-01-05T13:47:00Z</cp:lastPrinted>
  <dcterms:created xsi:type="dcterms:W3CDTF">2026-10-01T02:26:00Z</dcterms:created>
  <dcterms:modified xsi:type="dcterms:W3CDTF">2026-10-01T02:27:00Z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00560caa-371c-4959-a689-5571abe10c04</vt:lpwstr>
  </property>
</Properties>
</file>