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qil6i3gawcr" w:id="0"/>
      <w:bookmarkEnd w:id="0"/>
      <w:r w:rsidDel="00000000" w:rsidR="00000000" w:rsidRPr="00000000">
        <w:rPr>
          <w:rtl w:val="0"/>
        </w:rPr>
        <w:t xml:space="preserve">All cell lines in Trips-viz with good triplet periodicity score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are the studies that I used that are already available in Trips-viz.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selected ones that have good triplet periodicity score (&gt;=0.5).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60"/>
        <w:gridCol w:w="1740"/>
        <w:gridCol w:w="1800"/>
        <w:gridCol w:w="1800"/>
        <w:tblGridChange w:id="0">
          <w:tblGrid>
            <w:gridCol w:w="1800"/>
            <w:gridCol w:w="1860"/>
            <w:gridCol w:w="174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short name and doi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samples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GSE/PRJNA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Triplet periodicity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Fijalkowska, 2017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https://doi.org/10.1093/nar/gkx469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HCT116 (colon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(init + elong)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GSE87328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Crappe, 2015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https://doi.org/10.1093/nar/gku1283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HCT116 (colon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GSE58207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Gameiro18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https://doi.org/10.1016/j.celrep.2018.07.021</w:t>
              </w:r>
            </w:hyperlink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MCF10A-ER-Src  (breast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GSE114794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Ji16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https://doi.org/10.7554/eLife.08890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MCF10A-ER-Src (breast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(init + elong)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GSE65885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Lauria18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https://doi.org/10.1371/journal.pcbi.1006169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MCF7 (breast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GSE111866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Gawron16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https://doi.org/10.15252/msb.20156662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Jurkat (T-cell leukaemia, peripheral blood)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(init)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GSE74279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Wolfe15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https://doi.org/10.1038/nature13485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KOPT-K1 (Childhood T acute lymphoblastic leukaemia cells)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GSE56887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Hsieh12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https://doi.org/10.1038/nature10912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PC3 (prostate cancer cells)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GSE35469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Guo14 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https://doi.org/10.1186/s13059-014-0409-z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U2OS (Bone Osteosarcoma Epithelial Cells)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GSE51584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Goodarzi16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https://doi.org/10.1016/j.cell.2016.05.046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CN34-parental and CN34-LM1a (breast cancer cell 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GSE77347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72+24=96 samples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Trips-viz algorithm to predict uORF (upstream), uoORF (upstream overlapping), nORF (nested), dORF (downstream), doORF (downstream overlapping), ORFs in lncRNA.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type of non canonical ORF, I manually choose the rank for which the translation signal of ORF looks reliable (I provide plots of the top and bottom examples of non-canonical ORFs, </w:t>
      </w:r>
      <w:r w:rsidDel="00000000" w:rsidR="00000000" w:rsidRPr="00000000">
        <w:rPr>
          <w:b w:val="1"/>
          <w:rtl w:val="0"/>
        </w:rPr>
        <w:t xml:space="preserve">Fig.1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Fig.2</w:t>
      </w:r>
      <w:r w:rsidDel="00000000" w:rsidR="00000000" w:rsidRPr="00000000">
        <w:rPr>
          <w:rtl w:val="0"/>
        </w:rPr>
        <w:t xml:space="preserve">).  </w:t>
      </w:r>
    </w:p>
    <w:tbl>
      <w:tblPr>
        <w:tblStyle w:val="Table2"/>
        <w:tblW w:w="30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815"/>
        <w:tblGridChange w:id="0">
          <w:tblGrid>
            <w:gridCol w:w="121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 threshold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uoORF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lncORFs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doORF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genomic coordinates and aggregated predicted ORFs based on that (e.g. the same ORF can be uORF in one transcript and nORF in another).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resulted in 10997 unique peptides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11204 non-canonical ORFs, file = ncORFs_with_global_coo.txt). </w:t>
      </w:r>
    </w:p>
    <w:p w:rsidR="00000000" w:rsidDel="00000000" w:rsidP="00000000" w:rsidRDefault="00000000" w:rsidRPr="00000000" w14:paraId="0000005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110 of peptides from HLA peptidomics can be found in </w:t>
      </w:r>
      <w:r w:rsidDel="00000000" w:rsidR="00000000" w:rsidRPr="00000000">
        <w:rPr>
          <w:rtl w:val="0"/>
        </w:rPr>
        <w:t xml:space="preserve">94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ncORFs (peptides_found_in_ncORFs.txt, I plotted some of their profiles with good ranks,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Figure 3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70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Fig.1. Subcodon ribo-seq profiles of top- and bottom-ranked non-canonical ORFs (dORF, doORF, ORFs in lncRNAs).  Profiles are  differentially coloured by a supported reading frame. Bottom colour bars show ORF plot where white lines are AUGs, black - stop codons. Predicted ORFs are depicted as grey bars and also highlighted in yellow.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360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Fig.2. Subcodon ribo-seq profiles of top- and bottom-ranked non-canonical ORFs (uORF, uoORF, nORF).  Profiles are  differentially coloured by a supported reading frame. Bottom colour bars show ORF plot where white lines are AUGs, black - stop codons. Predicted ORFs are depicted as grey bars and also highlighted in yellow.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572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189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Fig.3 Subcodon ribo-seq profiles of ncORFs for which there are peptides found in HLA peptidomics.  Profiles are differentially coloured by a supported reading frame. Bottom colour bars show ORF plot where white lines are AUGs, black - stop codons. Predicted ORFs are depicted as grey bars and also highlighted in yellow. Amino acid sequence of ncORF-encoded peptide are show at the bottom of each profile and HLA peptide is show in bold and different color.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abcvc1hi583w" w:id="1"/>
      <w:bookmarkEnd w:id="1"/>
      <w:r w:rsidDel="00000000" w:rsidR="00000000" w:rsidRPr="00000000">
        <w:rPr>
          <w:rtl w:val="0"/>
        </w:rPr>
        <w:t xml:space="preserve">Only HCT116 cell line non-canonical ORFs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 Trips-viz there are only 2 studies with HCT116 cell line (6 samples, mapped on GENCODE v25).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Therefore I added more studies and reprocessed raw reads and mapped them on GENCODE v41.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Here are the studies that I used. Notice that only 3 of them with 20 samples have decent triplet periodicity score, &gt; 0.5 which is an important measure of quality of the data because Trips-viz ORF </w:t>
      </w:r>
      <w:r w:rsidDel="00000000" w:rsidR="00000000" w:rsidRPr="00000000">
        <w:rPr>
          <w:rtl w:val="0"/>
        </w:rPr>
        <w:t xml:space="preserve">predictor</w:t>
      </w:r>
      <w:r w:rsidDel="00000000" w:rsidR="00000000" w:rsidRPr="00000000">
        <w:rPr>
          <w:rtl w:val="0"/>
        </w:rPr>
        <w:t xml:space="preserve"> relies on triplet periodicity for detection of translated ORFs.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short name and doi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samples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GSE/PRJNA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Triplet periodicity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Adapter sequence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Fijalkowska, 2017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https://doi.org/10.1093/nar/gkx469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GSE87328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AGATCGGAAGAGCACAC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Crappe, 2015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https://doi.org/10.1093/nar/gku1283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GSM1403308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AGATCGGAAGAGCACAC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Babaian, 2020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https://doi.org/10.1016/j.celrep.2020.107611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PRJNA602544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CTGTAGGCACCATCAAT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Calviello, 2021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https://doi.org/10.1093/nar/gkab287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GSE157063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TAGACAGATCGGAAGAGCACACGTCTGAACTCCAGTCAC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Shuaikun Su, 2022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https://doi.org/10.1093/nar/gkac538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GSE188574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AGATCGGAAGAGCACACGTCTGAACTCCAGTCAC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Therefore I decided to go with another option - taking multiple already available cancer cell lines in Trips-viz with good triplet periodicity.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093/nar/gku1283" TargetMode="External"/><Relationship Id="rId11" Type="http://schemas.openxmlformats.org/officeDocument/2006/relationships/hyperlink" Target="https://doi.org/10.15252/msb.20156662" TargetMode="External"/><Relationship Id="rId22" Type="http://schemas.openxmlformats.org/officeDocument/2006/relationships/hyperlink" Target="https://doi.org/10.1093/nar/gkab287" TargetMode="External"/><Relationship Id="rId10" Type="http://schemas.openxmlformats.org/officeDocument/2006/relationships/hyperlink" Target="https://doi.org/10.1371/journal.pcbi.1006169" TargetMode="External"/><Relationship Id="rId21" Type="http://schemas.openxmlformats.org/officeDocument/2006/relationships/hyperlink" Target="https://doi.org/10.1016/j.celrep.2020.107611" TargetMode="External"/><Relationship Id="rId13" Type="http://schemas.openxmlformats.org/officeDocument/2006/relationships/hyperlink" Target="https://doi.org/10.1038/nature10912" TargetMode="External"/><Relationship Id="rId12" Type="http://schemas.openxmlformats.org/officeDocument/2006/relationships/hyperlink" Target="https://doi.org/10.1038/nature13485" TargetMode="External"/><Relationship Id="rId23" Type="http://schemas.openxmlformats.org/officeDocument/2006/relationships/hyperlink" Target="https://doi.org/10.1093/nar/gkac5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7554/eLife.08890" TargetMode="External"/><Relationship Id="rId15" Type="http://schemas.openxmlformats.org/officeDocument/2006/relationships/hyperlink" Target="https://doi.org/10.1016/j.cell.2016.05.046" TargetMode="External"/><Relationship Id="rId14" Type="http://schemas.openxmlformats.org/officeDocument/2006/relationships/hyperlink" Target="https://doi.org/10.1186/s13059-014-0409-z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oi.org/10.1093/nar/gkx469" TargetMode="External"/><Relationship Id="rId6" Type="http://schemas.openxmlformats.org/officeDocument/2006/relationships/hyperlink" Target="https://doi.org/10.1093/nar/gkx469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doi.org/10.1093/nar/gku1283" TargetMode="External"/><Relationship Id="rId8" Type="http://schemas.openxmlformats.org/officeDocument/2006/relationships/hyperlink" Target="https://doi.org/10.1016/j.celrep.2018.07.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